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16.png" ContentType="image/png"/>
  <Override PartName="/word/media/rId122.png" ContentType="image/png"/>
  <Override PartName="/word/media/rId125.png" ContentType="image/png"/>
  <Override PartName="/word/media/rId128.png" ContentType="image/png"/>
  <Override PartName="/word/media/rId119.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Turkey B-cell Transcriptome Profile During THEV Infection Highlights Upregulated Cell Death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THEV is transmitted via the fecal-oral route and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Naturally-occurring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infected B-cells and macrophages is generally proposed as the major cause of THEV-induced IMS as both humoral and cell-mediated immunity are impaired</w:t>
      </w:r>
      <w:r>
        <w:t xml:space="preserve"> </w:t>
      </w:r>
      <w:r>
        <w:t xml:space="preserve">(5, 6, 8, 11)</w:t>
      </w:r>
      <w:r>
        <w:t xml:space="preserve">. Immunopathogenesis via cytokines from T-cells and macrophages has also been suggested as a mechanism of apoptosis leading to IMS. It is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These cytokines released by T-cells and macrophages (e.g., TNF) are pro-apoptotic and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analyses in large curated knowledgebases such as gene ontology (GO) and Kyoto Encyclopedia of Genes and Genomes (KEGG) pathways which connect genes to specific biological processes, functions, and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cell processes/pathways influenced by the virus to bring about IMS. In this study, we present the first transcriptomic profile of THEV-infected cells using paired-end RNA-seq in a turkey B-cell line (MDTC-RP19), highlighting key host genes, cellular/molecular processes and pathways affected during a THEV infection. We specifically focus on cellular processes related to cell survivability that would help in elucidating THEV-induced IMS.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4"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harvested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(see</w:t>
      </w:r>
      <w:r>
        <w:t xml:space="preserve"> </w:t>
      </w:r>
      <w:r>
        <w:rPr>
          <w:b/>
          <w:bCs/>
        </w:rPr>
        <w:t xml:space="preserve">Table 1</w:t>
      </w:r>
      <w:r>
        <w:t xml:space="preserve"> </w:t>
      </w:r>
      <w:r>
        <w:t xml:space="preserve">for sequencing statistics). After trimming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 </w:t>
      </w:r>
      <w:r>
        <w:t xml:space="preserve">to</w:t>
      </w:r>
      <w:r>
        <w:t xml:space="preserve"> </w:t>
      </w:r>
      <w:r>
        <w:rPr>
          <w:b/>
          <w:bCs/>
        </w:rPr>
        <w:t xml:space="preserve">89.2</w:t>
      </w:r>
      <w:r>
        <w:t xml:space="preserve">%. The fraction of reads mapping to the host genome decreased while those mapping to the virus genome increased over course of the infection as the virus infectious cycle progressed. Despite excellent quality scores at all time points (</w:t>
      </w:r>
      <w:r>
        <w:rPr>
          <w:b/>
          <w:bCs/>
        </w:rPr>
        <w:t xml:space="preserve">Table 1</w:t>
      </w:r>
      <w:r>
        <w:t xml:space="preserve">), DEGs identified at 4 and 72 hpi did not yield any results in the downstream functional enrichment analyses (GO term and KEGG pathway analysis) and they were excluded from all subsequent analyses. In the remaining 12 and 24 hpi samples, a high correlation was observed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 The DEG analyses results at 12 and 24-hpi have been deposited in NCBI Gene Expression Omnibus (</w:t>
      </w:r>
      <w:hyperlink r:id="rId23">
        <w:r>
          <w:rPr>
            <w:rStyle w:val="Hyperlink"/>
          </w:rPr>
          <w:t xml:space="preserve">http://www.ncbi.nlm.nih.gov/geo</w:t>
        </w:r>
      </w:hyperlink>
      <w:r>
        <w:t xml:space="preserve">) under accession number ### with files named ~file_name12hpi and file_name24hpi~, respectively.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 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and KEGG pathway Analyses)</w:t>
      </w:r>
      <w:r>
        <w:br/>
      </w:r>
      <w:r>
        <w:t xml:space="preserve">Gene ontology (GO) enrichment analysis was performed for 12- and 24-hpi DEGs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overlaps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In the CC category, the GO terms relate primarily with cytoplasmic vacuolation, while in the MF category, they broadly fit under protein binding and kinase activity (</w:t>
      </w:r>
      <w:r>
        <w:rPr>
          <w:b/>
          <w:bCs/>
        </w:rPr>
        <w:t xml:space="preserve">Table 2A</w:t>
      </w:r>
      <w:r>
        <w:t xml:space="preserve">). For downregulated DEGs at 12 hpi, GO terms in BP category generally fell under translation, protein biosynthesis and folding, ribosome biogenesis, nitrogen compound metabolism, nucleic acid synthesis, repair, metabolism, processing, and replication, and energy metabolism. Also, immunoglobulin production and isotype switching were downregulated (</w:t>
      </w:r>
      <w:r>
        <w:rPr>
          <w:b/>
          <w:bCs/>
        </w:rPr>
        <w:t xml:space="preserve">Figure 4C</w:t>
      </w:r>
      <w:r>
        <w:t xml:space="preserve"> </w:t>
      </w:r>
      <w:r>
        <w:t xml:space="preserve">and</w:t>
      </w:r>
      <w:r>
        <w:t xml:space="preserve"> </w:t>
      </w:r>
      <w:r>
        <w:rPr>
          <w:b/>
          <w:bCs/>
        </w:rPr>
        <w:t xml:space="preserve">Table 2B</w:t>
      </w:r>
      <w:r>
        <w:t xml:space="preserve">). In the CC category GO terms broadly grouped into ribosome, mitochondria, respirosome, nucleus, and spliceosome, while in the MF category, they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in the BP category for upregulated DEGs were connected with apoptosis and autophagy, lipid and sterol biosynthesis, catabolic process, protein ubiquitination and proteolysis, cell signalling,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In the CC category, GO terms were related to cytoplasmic vacuolation and the lysosome, similar to those identified at 12-hpi. In the MF category GO terms group into protein ubiquitination activity, kinase and acyltransferase activity, and macromolecule binding activity (</w:t>
      </w:r>
      <w:r>
        <w:rPr>
          <w:b/>
          <w:bCs/>
        </w:rPr>
        <w:t xml:space="preserve">Table 3A</w:t>
      </w:r>
      <w:r>
        <w:t xml:space="preserve">). GO terms for the downregulated DEGs were markedly similar to those at 12-hpi in all three GO categories. In the BP category,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in the CC category group under ribosome,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pathway analysis on the DEGs was also performed using both the gprofiler2 R package</w:t>
      </w:r>
      <w:r>
        <w:t xml:space="preserve"> </w:t>
      </w:r>
      <w:r>
        <w:t xml:space="preserve">(22)</w:t>
      </w:r>
      <w:r>
        <w:t xml:space="preserve"> </w:t>
      </w:r>
      <w:r>
        <w:t xml:space="preserve">and the DAVID online resource. Both resources gave similar results, but the results from DAVID (</w:t>
      </w:r>
      <w:r>
        <w:rPr>
          <w:b/>
          <w:bCs/>
        </w:rPr>
        <w:t xml:space="preserve">Table 4A</w:t>
      </w:r>
      <w:r>
        <w:t xml:space="preserve">) included more information than the gprofiler2 results (</w:t>
      </w:r>
      <w:r>
        <w:rPr>
          <w:b/>
          <w:bCs/>
        </w:rPr>
        <w:t xml:space="preserve">Table 4B</w:t>
      </w:r>
      <w:r>
        <w:t xml:space="preserv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both 12- and 24-hpi.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are particularly interested in cellular processes and pathways associated with cell death and pathways that may affect the survivability of the host B-cells, thereby accounting for THEV-induced IMS. We highlight the upregulated cell death (apoptosis and autophagy) pathways and responses to stimuli (especially the ubiquitin-dependent endoplasmic reticulum [ER]-related protein degradation) pathways identified by our GO and KEGG analyses as the likely key aspects of THEV-host cell interaction relevant to THEV-induced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through direct viral protein action or the host antiviral response</w:t>
      </w:r>
      <w:r>
        <w:t xml:space="preserve"> </w:t>
      </w:r>
      <w:r>
        <w:t xml:space="preserve">(24–26)</w:t>
      </w:r>
      <w:r>
        <w:t xml:space="preserve">. The Mastadenovirus family possess the protein, E1B-19K, used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similar anti-apoptotic functions but the functions of these novel ORFs are yet to be studied</w:t>
      </w:r>
      <w:r>
        <w:t xml:space="preserve"> </w:t>
      </w:r>
      <w:r>
        <w:t xml:space="preserve">(28)</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w:t>
      </w:r>
      <w:r>
        <w:rPr>
          <w:i/>
          <w:iCs/>
        </w:rPr>
        <w:t xml:space="preserve">BAK1</w:t>
      </w:r>
      <w:r>
        <w:t xml:space="preserve">), BCL2 interacting protein 3 like (</w:t>
      </w:r>
      <w:r>
        <w:rPr>
          <w:i/>
          <w:iCs/>
        </w:rPr>
        <w:t xml:space="preserve">BNIP3L</w:t>
      </w:r>
      <w:r>
        <w:t xml:space="preserve">), BCL2 interacting protein 3 (</w:t>
      </w:r>
      <w:r>
        <w:rPr>
          <w:i/>
          <w:iCs/>
        </w:rPr>
        <w:t xml:space="preserve">BNIP3</w:t>
      </w:r>
      <w:r>
        <w:t xml:space="preserve">), and Bcl2 modifying factor (</w:t>
      </w:r>
      <w:r>
        <w:rPr>
          <w:i/>
          <w:iCs/>
        </w:rPr>
        <w:t xml:space="preserve">BMF</w:t>
      </w:r>
      <w:r>
        <w:t xml:space="preserve">) were upregulated. Additionally, Fas cell surface death receptor (</w:t>
      </w:r>
      <w:r>
        <w:rPr>
          <w:i/>
          <w:iCs/>
        </w:rPr>
        <w:t xml:space="preserve">FAS</w:t>
      </w:r>
      <w:r>
        <w:t xml:space="preserve">), Fas associated via death domain (</w:t>
      </w:r>
      <w:r>
        <w:rPr>
          <w:i/>
          <w:iCs/>
        </w:rPr>
        <w:t xml:space="preserve">FADD</w:t>
      </w:r>
      <w:r>
        <w:t xml:space="preserve">), MAP kinase-activating death domain (</w:t>
      </w:r>
      <w:r>
        <w:rPr>
          <w:i/>
          <w:iCs/>
        </w:rPr>
        <w:t xml:space="preserve">MADD</w:t>
      </w:r>
      <w:r>
        <w:t xml:space="preserve">), programmed cell death 4 (</w:t>
      </w:r>
      <w:r>
        <w:rPr>
          <w:i/>
          <w:iCs/>
        </w:rPr>
        <w:t xml:space="preserve">PDCD4</w:t>
      </w:r>
      <w:r>
        <w:t xml:space="preserve">), RB1 inducible coiled-coil 1 (</w:t>
      </w:r>
      <w:r>
        <w:rPr>
          <w:i/>
          <w:iCs/>
        </w:rPr>
        <w:t xml:space="preserve">RB1CC1</w:t>
      </w:r>
      <w:r>
        <w:t xml:space="preserve">), activating transcription factor 4 (</w:t>
      </w:r>
      <w:r>
        <w:rPr>
          <w:i/>
          <w:iCs/>
        </w:rPr>
        <w:t xml:space="preserve">ATF4</w:t>
      </w:r>
      <w:r>
        <w:t xml:space="preserve">), receptor interacting serine/threonine kinase 1 (</w:t>
      </w:r>
      <w:r>
        <w:rPr>
          <w:i/>
          <w:iCs/>
        </w:rPr>
        <w:t xml:space="preserve">RIPK1</w:t>
      </w:r>
      <w:r>
        <w:t xml:space="preserve">), tumor necrosis factor receptor superfamily member 1B (</w:t>
      </w:r>
      <w:r>
        <w:rPr>
          <w:i/>
          <w:iCs/>
        </w:rPr>
        <w:t xml:space="preserve">TNFRSF1B</w:t>
      </w:r>
      <w:r>
        <w:t xml:space="preserve">), pro-apoptotic WT1 regulator (</w:t>
      </w:r>
      <w:r>
        <w:rPr>
          <w:i/>
          <w:iCs/>
        </w:rPr>
        <w:t xml:space="preserve">PAWR</w:t>
      </w:r>
      <w:r>
        <w:t xml:space="preserve">), and apoptotic peptidase activating factor 1 (</w:t>
      </w:r>
      <w:r>
        <w:rPr>
          <w:i/>
          <w:iCs/>
        </w:rPr>
        <w:t xml:space="preserve">APAF1</w:t>
      </w:r>
      <w:r>
        <w:t xml:space="preserve">), which are potent proapoptotic factors were upregulated. Interestingly, both the intrinsic (</w:t>
      </w:r>
      <w:r>
        <w:rPr>
          <w:i/>
          <w:iCs/>
        </w:rPr>
        <w:t xml:space="preserve">BAK1, BNIP3L, BNIP3, BMF, RB1CC1, ATF4, PDCD4</w:t>
      </w:r>
      <w:r>
        <w:t xml:space="preserve">, and</w:t>
      </w:r>
      <w:r>
        <w:t xml:space="preserve"> </w:t>
      </w:r>
      <w:r>
        <w:rPr>
          <w:i/>
          <w:iCs/>
        </w:rPr>
        <w:t xml:space="preserve">APAF1</w:t>
      </w:r>
      <w:r>
        <w:t xml:space="preserve">) and extrinsic (</w:t>
      </w:r>
      <w:r>
        <w:rPr>
          <w:i/>
          <w:iCs/>
        </w:rPr>
        <w:t xml:space="preserve">FAS, FADD, TNFRSF1B, MADD, and RIPK1</w:t>
      </w:r>
      <w:r>
        <w:t xml:space="preserve">) apoptotic pathways were represented. Conversely, several anti-apoptotic proteins such as BCL2 apoptosis regulator (</w:t>
      </w:r>
      <w:r>
        <w:rPr>
          <w:i/>
          <w:iCs/>
        </w:rPr>
        <w:t xml:space="preserve">BCL2</w:t>
      </w:r>
      <w:r>
        <w:t xml:space="preserve">), BCL2 interacting protein 2 (</w:t>
      </w:r>
      <w:r>
        <w:rPr>
          <w:i/>
          <w:iCs/>
        </w:rPr>
        <w:t xml:space="preserve">BNIP2</w:t>
      </w:r>
      <w:r>
        <w:t xml:space="preserve">; interacts directly with adenovirus E1B-19K protein), BCL2 related protein A1 (</w:t>
      </w:r>
      <w:r>
        <w:rPr>
          <w:i/>
          <w:iCs/>
        </w:rPr>
        <w:t xml:space="preserve">BCL2A1</w:t>
      </w:r>
      <w:r>
        <w:t xml:space="preserve">), and apoptosis inhibitor 5 (</w:t>
      </w:r>
      <w:r>
        <w:rPr>
          <w:i/>
          <w:iCs/>
        </w:rPr>
        <w:t xml:space="preserve">API5</w:t>
      </w:r>
      <w:r>
        <w:t xml:space="preserve">) were also upregulated. Thus, apoptosis and its regulation pathways are clearly upregulated; this highlights the host-virus tug-of-war and underscores the ability of adenoviruses to trigger both apoptotic and anti-apoptotic pathways as seen in Mastadenoviruses. Moreover, several genes associated with autophagy such as: TNF receptor associated factor 6 (</w:t>
      </w:r>
      <w:r>
        <w:rPr>
          <w:i/>
          <w:iCs/>
        </w:rPr>
        <w:t xml:space="preserve">TRAF6</w:t>
      </w:r>
      <w:r>
        <w:t xml:space="preserve">), autophagy related 9A (</w:t>
      </w:r>
      <w:r>
        <w:rPr>
          <w:i/>
          <w:iCs/>
        </w:rPr>
        <w:t xml:space="preserve">ATG9A</w:t>
      </w:r>
      <w:r>
        <w:t xml:space="preserve">), unc-51 like autophagy activating kinase 2 (</w:t>
      </w:r>
      <w:r>
        <w:rPr>
          <w:i/>
          <w:iCs/>
        </w:rPr>
        <w:t xml:space="preserve">ULK2</w:t>
      </w:r>
      <w:r>
        <w:t xml:space="preserve">), and autophagy related 4B cysteine peptidase (</w:t>
      </w:r>
      <w:r>
        <w:rPr>
          <w:i/>
          <w:iCs/>
        </w:rPr>
        <w:t xml:space="preserve">ATG4B</w:t>
      </w:r>
      <w:r>
        <w:t xml:space="preserve">) were upregulated.</w:t>
      </w:r>
    </w:p>
    <w:p>
      <w:pPr>
        <w:pStyle w:val="BodyText"/>
      </w:pPr>
      <w:r>
        <w:rPr>
          <w:b/>
          <w:bCs/>
        </w:rPr>
        <w:t xml:space="preserve">Cell Cycle and Cell Maintenance Pathway Regulation Impacting Apoptosis</w:t>
      </w:r>
      <w:r>
        <w:br/>
      </w:r>
      <w:r>
        <w:t xml:space="preserve">Forcibly transitioning of the host cell cycle to the S phase during the early phase of infection is a prerequisite for a productive adenovirus infection. Interaction of the viral E1A early proteins with the host pRb (retinoblastoma) protein releases the host transcription factor E2F, which activates genes required for S phase cell cycle induction. Viral E1A also binds the host transcriptional co-activator p300/CBP</w:t>
      </w:r>
      <w:r>
        <w:t xml:space="preserve"> </w:t>
      </w:r>
      <w:r>
        <w:t xml:space="preserve">(29)</w:t>
      </w:r>
      <w:r>
        <w:t xml:space="preserve">. Our GO and KEGG pathway results showed that at 12 hpi, several key genes involved with cell cycle transition were upregulated. Notably, E1A binding protein p300 (</w:t>
      </w:r>
      <w:r>
        <w:rPr>
          <w:i/>
          <w:iCs/>
        </w:rPr>
        <w:t xml:space="preserve">EP300</w:t>
      </w:r>
      <w:r>
        <w:t xml:space="preserve">), cyclin genes (</w:t>
      </w:r>
      <w:r>
        <w:rPr>
          <w:i/>
          <w:iCs/>
        </w:rPr>
        <w:t xml:space="preserve">CCND3, CCNG1, CCNG2, CDK6</w:t>
      </w:r>
      <w:r>
        <w:t xml:space="preserve">), anaphase promoting complex subunit 1 (</w:t>
      </w:r>
      <w:r>
        <w:rPr>
          <w:i/>
          <w:iCs/>
        </w:rPr>
        <w:t xml:space="preserve">ANAPC1</w:t>
      </w:r>
      <w:r>
        <w:t xml:space="preserve">), and cell division cycle 27 (</w:t>
      </w:r>
      <w:r>
        <w:rPr>
          <w:i/>
          <w:iCs/>
        </w:rPr>
        <w:t xml:space="preserve">CDC27</w:t>
      </w:r>
      <w:r>
        <w:t xml:space="preserve">) were upregulated. However, unlike observed in Mastadenoviruses, the cell cycle regulation at 12 hpi seems complicated as some key cell cycle related genes as well as DNA and RNA synthesis, repair, metabolism, processing, and replication were concurrently downregulated. At 24 hpi, our KEGG pathway and GO analysis show that cell cycle was unanimously downregulated.</w:t>
      </w:r>
    </w:p>
    <w:p>
      <w:pPr>
        <w:pStyle w:val="BodyText"/>
      </w:pPr>
      <w:r>
        <w:t xml:space="preserve">We found that several essential cell maintenance processes whose suppression can trigger apoptosis, were downregulated. Severe DNA damage is a known mechanism of apoptosis induction, called DNA damage-dependent apoptosis</w:t>
      </w:r>
      <w:r>
        <w:t xml:space="preserve"> </w:t>
      </w:r>
      <w:r>
        <w:t xml:space="preserve">(30)</w:t>
      </w:r>
      <w:r>
        <w:t xml:space="preserve">. Repression of RNA and protein synthesis is also strongly associated with apoptosis</w:t>
      </w:r>
      <w:r>
        <w:t xml:space="preserve"> </w:t>
      </w:r>
      <w:r>
        <w:t xml:space="preserve">(31)</w:t>
      </w:r>
      <w:r>
        <w:t xml:space="preserve">. Several processes related to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Notable genes identified include DNA ligase 1 (</w:t>
      </w:r>
      <w:r>
        <w:rPr>
          <w:i/>
          <w:iCs/>
        </w:rPr>
        <w:t xml:space="preserve">LIG1</w:t>
      </w:r>
      <w:r>
        <w:t xml:space="preserve">), X-ray repair cross complementing 1 (</w:t>
      </w:r>
      <w:r>
        <w:rPr>
          <w:i/>
          <w:iCs/>
        </w:rPr>
        <w:t xml:space="preserve">XRCC1</w:t>
      </w:r>
      <w:r>
        <w:t xml:space="preserve">), cyclin dependent kinase 1 and 2 (</w:t>
      </w:r>
      <w:r>
        <w:rPr>
          <w:i/>
          <w:iCs/>
        </w:rPr>
        <w:t xml:space="preserve">CDK1, CDK2</w:t>
      </w:r>
      <w:r>
        <w:t xml:space="preserve">), checkpoint kinase 1 (</w:t>
      </w:r>
      <w:r>
        <w:rPr>
          <w:i/>
          <w:iCs/>
        </w:rPr>
        <w:t xml:space="preserve">CHEK1</w:t>
      </w:r>
      <w:r>
        <w:t xml:space="preserve">), 8-oxoguanine DNA glycosylase (</w:t>
      </w:r>
      <w:r>
        <w:rPr>
          <w:i/>
          <w:iCs/>
        </w:rPr>
        <w:t xml:space="preserve">OGG1</w:t>
      </w:r>
      <w:r>
        <w:t xml:space="preserve">), BLM RecQ-like-helicase (</w:t>
      </w:r>
      <w:r>
        <w:rPr>
          <w:i/>
          <w:iCs/>
        </w:rPr>
        <w:t xml:space="preserve">BLM</w:t>
      </w:r>
      <w:r>
        <w:t xml:space="preserve">), BRCA1 DNA repair associated (</w:t>
      </w:r>
      <w:r>
        <w:rPr>
          <w:i/>
          <w:iCs/>
        </w:rPr>
        <w:t xml:space="preserve">BRCA1</w:t>
      </w:r>
      <w:r>
        <w:t xml:space="preserve">), and several RAD family proteins (</w:t>
      </w:r>
      <w:r>
        <w:rPr>
          <w:i/>
          <w:iCs/>
        </w:rPr>
        <w:t xml:space="preserve">RAD21, RAD51, RAD51B, RAD51C, RAD54B</w:t>
      </w:r>
      <w:r>
        <w:t xml:space="preserve">). Additionally, protein-related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Notable genes identified include eukaryotic translation initiation factors (</w:t>
      </w:r>
      <w:r>
        <w:rPr>
          <w:i/>
          <w:iCs/>
        </w:rPr>
        <w:t xml:space="preserve">EIF1, EIF1AX, EIF3E and EIF3F, EIF3H, EIF3I, EIF3L and EIF3M</w:t>
      </w:r>
      <w:r>
        <w:t xml:space="preserve">), biogenesis of ribosomes BRX1 (</w:t>
      </w:r>
      <w:r>
        <w:rPr>
          <w:i/>
          <w:iCs/>
        </w:rPr>
        <w:t xml:space="preserve">BRIX1</w:t>
      </w:r>
      <w:r>
        <w:t xml:space="preserve">), MCTS1 re-initiation and release factor (</w:t>
      </w:r>
      <w:r>
        <w:rPr>
          <w:i/>
          <w:iCs/>
        </w:rPr>
        <w:t xml:space="preserve">MCTS1</w:t>
      </w:r>
      <w:r>
        <w:t xml:space="preserve">), and ribosomal protein subunits (</w:t>
      </w:r>
      <w:r>
        <w:rPr>
          <w:i/>
          <w:iCs/>
        </w:rPr>
        <w:t xml:space="preserve">RPL8, RPL10a, RPL11, RP12, RP13, RP14, RP15, RP18a, RP19</w:t>
      </w:r>
      <w:r>
        <w:t xml:space="preserve">). We speculate that these may all contribute to cell death via apoptosis; hence, THEV-induce IMS.</w:t>
      </w:r>
    </w:p>
    <w:p>
      <w:pPr>
        <w:pStyle w:val="BodyText"/>
      </w:pPr>
      <w:r>
        <w:rPr>
          <w:b/>
          <w:bCs/>
        </w:rPr>
        <w:t xml:space="preserve">Endoplasmic Reticulum (ER)-related Protein Degradation Response during THEV infection</w:t>
      </w:r>
      <w:r>
        <w:br/>
      </w:r>
      <w:r>
        <w:t xml:space="preserve">The KEGG pathway analysis (</w:t>
      </w:r>
      <w:r>
        <w:rPr>
          <w:b/>
          <w:bCs/>
        </w:rPr>
        <w:t xml:space="preserve">Table 4A</w:t>
      </w:r>
      <w:r>
        <w:t xml:space="preserve">) show that protein processing in the ER and ubiquitin-mediated proteolysis are significantly upregulated. The GO results (</w:t>
      </w:r>
      <w:r>
        <w:rPr>
          <w:b/>
          <w:bCs/>
        </w:rPr>
        <w:t xml:space="preserve">Table 3A</w:t>
      </w:r>
      <w:r>
        <w:t xml:space="preserve">) shows that specifically, the ER‐associated protein degradation (ERAD) pathway was upregulated during THEV infection. The ER is the major site for protein synthesis, folding and quality control, and sorting. It is also harbors proteins and protein complexes necessary for other cellular functions including innate immune signaling, and serves as the site for lipid biosynthesis</w:t>
      </w:r>
      <w:r>
        <w:t xml:space="preserve"> </w:t>
      </w:r>
      <w:r>
        <w:t xml:space="preserve">(32)</w:t>
      </w:r>
      <w:r>
        <w:t xml:space="preserve">. The ERAD pathway, a ubiquitin‐proteasome‐dependent pathway, is a protein quality control system primarily activated for degradation of unwanted byproducts of protein biogenesis, such as misfolded and unassembled/orphaned proteins</w:t>
      </w:r>
      <w:r>
        <w:t xml:space="preserve"> </w:t>
      </w:r>
      <w:r>
        <w:t xml:space="preserve">(32)</w:t>
      </w:r>
      <w:r>
        <w:t xml:space="preserve">. In our results, the THEV-infected samples showed significant increase in ERAD pathway effector proteins, such as valosin containing protein (</w:t>
      </w:r>
      <w:r>
        <w:rPr>
          <w:i/>
          <w:iCs/>
        </w:rPr>
        <w:t xml:space="preserve">VCP</w:t>
      </w:r>
      <w:r>
        <w:t xml:space="preserve">), ubiquitin recognition factor in ER associated degradation 1 (</w:t>
      </w:r>
      <w:r>
        <w:rPr>
          <w:i/>
          <w:iCs/>
        </w:rPr>
        <w:t xml:space="preserve">UFD1</w:t>
      </w:r>
      <w:r>
        <w:t xml:space="preserve">), ER degradation enhancing alpha-mannosidase like proteins 1 and 3 (</w:t>
      </w:r>
      <w:r>
        <w:rPr>
          <w:i/>
          <w:iCs/>
        </w:rPr>
        <w:t xml:space="preserve">EDEM1, EDEM3</w:t>
      </w:r>
      <w:r>
        <w:t xml:space="preserve">), cullin 1 (</w:t>
      </w:r>
      <w:r>
        <w:rPr>
          <w:i/>
          <w:iCs/>
        </w:rPr>
        <w:t xml:space="preserve">CUL1</w:t>
      </w:r>
      <w:r>
        <w:t xml:space="preserve">), and ubiquilin 1 (</w:t>
      </w:r>
      <w:r>
        <w:rPr>
          <w:i/>
          <w:iCs/>
        </w:rPr>
        <w:t xml:space="preserve">UBQLN1</w:t>
      </w:r>
      <w:r>
        <w:t xml:space="preserve">). Our KEGG pathway (</w:t>
      </w:r>
      <w:r>
        <w:rPr>
          <w:b/>
          <w:bCs/>
        </w:rPr>
        <w:t xml:space="preserve">Table 4B</w:t>
      </w:r>
      <w:r>
        <w:t xml:space="preserve">) and GO (</w:t>
      </w:r>
      <w:r>
        <w:rPr>
          <w:b/>
          <w:bCs/>
        </w:rPr>
        <w:t xml:space="preserve">Figure 4B</w:t>
      </w:r>
      <w:r>
        <w:t xml:space="preserve">) results indicate a significant upregulation of ubiquitin mediated proteolysis with other ubiquitination pathway proteins such as: ubiquitin conjugating enzymes (</w:t>
      </w:r>
      <w:r>
        <w:rPr>
          <w:i/>
          <w:iCs/>
        </w:rPr>
        <w:t xml:space="preserve">UBE2J2, UBE2E3, UBE2Z</w:t>
      </w:r>
      <w:r>
        <w:t xml:space="preserve">), ubiquitin protein ligases (</w:t>
      </w:r>
      <w:r>
        <w:rPr>
          <w:i/>
          <w:iCs/>
        </w:rPr>
        <w:t xml:space="preserve">UBE3A, UBE3B</w:t>
      </w:r>
      <w:r>
        <w:t xml:space="preserve">), NPL4 homolog ubiquitin recognition factor (</w:t>
      </w:r>
      <w:r>
        <w:rPr>
          <w:i/>
          <w:iCs/>
        </w:rPr>
        <w:t xml:space="preserve">NPLOC4</w:t>
      </w:r>
      <w:r>
        <w:t xml:space="preserve">), and ubiquitin like modifier activating enzyme 6 (</w:t>
      </w:r>
      <w:r>
        <w:rPr>
          <w:i/>
          <w:iCs/>
        </w:rPr>
        <w:t xml:space="preserve">UBA6</w:t>
      </w:r>
      <w:r>
        <w:t xml:space="preserve">) showing significant upregulation. Additionally, the heat shock family of chaperone proteins such as: DnaJ heat shock protein family (</w:t>
      </w:r>
      <w:r>
        <w:rPr>
          <w:i/>
          <w:iCs/>
        </w:rPr>
        <w:t xml:space="preserve">HSP40</w:t>
      </w:r>
      <w:r>
        <w:t xml:space="preserve">) members (</w:t>
      </w:r>
      <w:r>
        <w:rPr>
          <w:i/>
          <w:iCs/>
        </w:rPr>
        <w:t xml:space="preserve">DNAJB11, DNAJB12, DNAJB2, DNAJC10</w:t>
      </w:r>
      <w:r>
        <w:t xml:space="preserve">), heat shock protein family A (</w:t>
      </w:r>
      <w:r>
        <w:rPr>
          <w:i/>
          <w:iCs/>
        </w:rPr>
        <w:t xml:space="preserve">HSP70</w:t>
      </w:r>
      <w:r>
        <w:t xml:space="preserve">) members (</w:t>
      </w:r>
      <w:r>
        <w:rPr>
          <w:i/>
          <w:iCs/>
        </w:rPr>
        <w:t xml:space="preserve">HSPA4L, HSPA5, HSPA8</w:t>
      </w:r>
      <w:r>
        <w:t xml:space="preserve">), and heat shock protein 90 alpha family class A member 1 (</w:t>
      </w:r>
      <w:r>
        <w:rPr>
          <w:i/>
          <w:iCs/>
        </w:rPr>
        <w:t xml:space="preserve">HSP90AA1</w:t>
      </w:r>
      <w:r>
        <w:t xml:space="preserve">) were upregulated. Moreover, the KEGG pathway analysis (</w:t>
      </w:r>
      <w:r>
        <w:rPr>
          <w:b/>
          <w:bCs/>
        </w:rPr>
        <w:t xml:space="preserve">Table 4A</w:t>
      </w:r>
      <w:r>
        <w:t xml:space="preserve">) shows a significant upregulation in lysosome formation, lumen acidification, and lysosomal degradation, likely an indication of ER-to-lysosome-associated degradation. Taken together, these results suggest that THEV infection triggers significant ER-associated protein degradation, which may contribute to cell death and IMS.</w:t>
      </w:r>
    </w:p>
    <w:p>
      <w:pPr>
        <w:pStyle w:val="BodyText"/>
      </w:pPr>
      <w:r>
        <w:rPr>
          <w:b/>
          <w:bCs/>
        </w:rPr>
        <w:t xml:space="preserve">Differential Expression of Cytokine and Cytokine Receptor-encoding genes</w:t>
      </w:r>
      <w:r>
        <w:br/>
      </w:r>
      <w:r>
        <w:t xml:space="preserve">Our KEGG pathway results showed that a pathway similar to immune response to influenza A infection was upregulated at 12 hpi. Our GO analysis also identified terms such as regulation of lymphocyte activation and regulation of cytokine production as upregulated at both 12 and 24 hpi. Genes involved include IL18, IL2RB, IL4R, IL5RA, TNF receptor associated factors (</w:t>
      </w:r>
      <w:r>
        <w:rPr>
          <w:i/>
          <w:iCs/>
        </w:rPr>
        <w:t xml:space="preserve">TRAF2, TRAF3, TRAF6, TRAF7, TRAFD1</w:t>
      </w:r>
      <w:r>
        <w:t xml:space="preserve">), TNF receptor superfamily members (</w:t>
      </w:r>
      <w:r>
        <w:rPr>
          <w:i/>
          <w:iCs/>
        </w:rPr>
        <w:t xml:space="preserve">TNFRSF1B, TNFRSF8, TNFSF4</w:t>
      </w:r>
      <w:r>
        <w:t xml:space="preserve">), interferon-induced with helicase C domain 1 (</w:t>
      </w:r>
      <w:r>
        <w:rPr>
          <w:i/>
          <w:iCs/>
        </w:rPr>
        <w:t xml:space="preserve">IFIH1</w:t>
      </w:r>
      <w:r>
        <w:t xml:space="preserve">), interferon-induced double-stranded RNA-activated protein kinase (</w:t>
      </w:r>
      <w:r>
        <w:rPr>
          <w:i/>
          <w:iCs/>
        </w:rPr>
        <w:t xml:space="preserve">PKR</w:t>
      </w:r>
      <w:r>
        <w:t xml:space="preserve">), and</w:t>
      </w:r>
      <w:r>
        <w:t xml:space="preserve"> </w:t>
      </w:r>
      <w:r>
        <w:rPr>
          <w:i/>
          <w:iCs/>
        </w:rPr>
        <w:t xml:space="preserve">CD80</w:t>
      </w:r>
      <w:r>
        <w:t xml:space="preserve">. In contrast, cytokine inhibitors such as suppressor of cytokine signaling (</w:t>
      </w:r>
      <w:r>
        <w:rPr>
          <w:i/>
          <w:iCs/>
        </w:rPr>
        <w:t xml:space="preserve">SOCS3</w:t>
      </w:r>
      <w:r>
        <w:t xml:space="preserve"> </w:t>
      </w:r>
      <w:r>
        <w:t xml:space="preserve">and</w:t>
      </w:r>
      <w:r>
        <w:t xml:space="preserve"> </w:t>
      </w:r>
      <w:r>
        <w:rPr>
          <w:i/>
          <w:iCs/>
        </w:rPr>
        <w:t xml:space="preserve">SOCS5</w:t>
      </w:r>
      <w:r>
        <w:t xml:space="preserve">) were also upregulated at both 12 and 24 hpi and immunoglobulin production and isotype switching GO terms were downregulated at 12 hpi. This inconsistency is likely and indicator of the struggle between the virus and its host. While several cytokines were regulated by THEV like in the proposed model of THEV immunopathogenesis (</w:t>
      </w:r>
      <w:r>
        <w:rPr>
          <w:b/>
          <w:bCs/>
        </w:rPr>
        <w:t xml:space="preserve">Figure 1</w:t>
      </w:r>
      <w:r>
        <w:t xml:space="preserve">), the expected cytokines (IFN-</w:t>
      </w:r>
      <m:oMath>
        <m:r>
          <m:t>α</m:t>
        </m:r>
      </m:oMath>
      <w:r>
        <w:t xml:space="preserve">, IFN-</w:t>
      </w:r>
      <m:oMath>
        <m:r>
          <m:t>β</m:t>
        </m:r>
      </m:oMath>
      <w:r>
        <w:t xml:space="preserve">, IFN-</w:t>
      </w:r>
      <m:oMath>
        <m:r>
          <m:t>γ</m:t>
        </m:r>
      </m:oMath>
      <w:r>
        <w:t xml:space="preserve"> </w:t>
      </w:r>
      <w:r>
        <w:t xml:space="preserve">TNF, IL-6, and NO) were not significantly differentially expressed in our data. However, many of the identified differentially expressed cytokines () are positve regulators of apoptosis; therefore, they may play a role in THEV-induced IMS.</w:t>
      </w:r>
    </w:p>
    <w:p>
      <w:pPr>
        <w:pStyle w:val="BodyText"/>
      </w:pPr>
      <w:r>
        <w:rPr>
          <w:b/>
          <w:bCs/>
        </w:rPr>
        <w:t xml:space="preserve">Validation of DEGs by Reverse Transcriptase Quantitative PCR (RT-qPCR)</w:t>
      </w:r>
      <w:r>
        <w:br/>
      </w:r>
      <w:r>
        <w:t xml:space="preserve">To validate the RNA-seq results, 12 DEGs (8 upregulated and 4 downregulated) were selected for RT-qPCR. The DEGs were representative of apoptosis (</w:t>
      </w:r>
      <w:r>
        <w:rPr>
          <w:i/>
          <w:iCs/>
        </w:rPr>
        <w:t xml:space="preserve">APAF1, BMF, FADD, MADD, and PDCD4</w:t>
      </w:r>
      <w:r>
        <w:t xml:space="preserve">), ERAD and ubiquitination (</w:t>
      </w:r>
      <w:r>
        <w:rPr>
          <w:i/>
          <w:iCs/>
        </w:rPr>
        <w:t xml:space="preserve">VCP, UFD1, EDEM1</w:t>
      </w:r>
      <w:r>
        <w:t xml:space="preserve">), and ribosome biosynthetic (</w:t>
      </w:r>
      <w:r>
        <w:rPr>
          <w:i/>
          <w:iCs/>
        </w:rPr>
        <w:t xml:space="preserve">EIF3D, EIF3M, RPL8, RPL10A</w:t>
      </w:r>
      <w:r>
        <w:t xml:space="preserve">) pathways. As shown in</w:t>
      </w:r>
      <w:r>
        <w:t xml:space="preserve"> </w:t>
      </w:r>
      <w:r>
        <w:rPr>
          <w:b/>
          <w:bCs/>
        </w:rPr>
        <w:t xml:space="preserve">Figure 5</w:t>
      </w:r>
      <w:r>
        <w:t xml:space="preserve">, the RT-qPCR results corroborate the RNA-seq results, further reinforcing the validity of the RNA-seq transcriptomic profile results. According to our Student’s T-test and Mann-Whitney U test, the difference in gene expression levels in all the selected genes were statistically significant.</w:t>
      </w:r>
      <w:r>
        <w:t xml:space="preserve"> </w:t>
      </w:r>
    </w:p>
    <w:bookmarkEnd w:id="24"/>
    <w:bookmarkStart w:id="25" w:name="discussion"/>
    <w:p>
      <w:pPr>
        <w:pStyle w:val="Heading2"/>
      </w:pPr>
      <w:r>
        <w:t xml:space="preserve">DISCUSSION</w:t>
      </w:r>
    </w:p>
    <w:p>
      <w:pPr>
        <w:pStyle w:val="FirstParagraph"/>
      </w:pPr>
      <w:r>
        <w:t xml:space="preserve">CCHFV is a BSL-4 pathogen threatening public health in about 50</w:t>
      </w:r>
      <w:r>
        <w:t xml:space="preserve"> </w:t>
      </w:r>
      <w:r>
        <w:t xml:space="preserve">countries of Asia, Africa, southern Europe, and the Middle East (Nasirian,</w:t>
      </w:r>
      <w:r>
        <w:t xml:space="preserve"> </w:t>
      </w:r>
      <w:r>
        <w:t xml:space="preserve">2020). Elucidation of virus-host interactions is urgently needed for not</w:t>
      </w:r>
      <w:r>
        <w:t xml:space="preserve"> </w:t>
      </w:r>
      <w:r>
        <w:t xml:space="preserve">only the understanding of the viral infection and pathogenesis but also</w:t>
      </w:r>
      <w:r>
        <w:t xml:space="preserve"> </w:t>
      </w:r>
      <w:r>
        <w:t xml:space="preserve">the design of antiviral therapies. However, as one of the most dangerous</w:t>
      </w:r>
      <w:r>
        <w:t xml:space="preserve"> </w:t>
      </w:r>
      <w:r>
        <w:t xml:space="preserve">human pathogens, experimental handling of live CCHFV is strictly</w:t>
      </w:r>
      <w:r>
        <w:t xml:space="preserve"> </w:t>
      </w:r>
      <w:r>
        <w:t xml:space="preserve">restricted in high-containment laboratories, slowing down the virological</w:t>
      </w:r>
      <w:r>
        <w:t xml:space="preserve"> </w:t>
      </w:r>
      <w:r>
        <w:t xml:space="preserve">studies including animal and cell infection model development and</w:t>
      </w:r>
      <w:r>
        <w:t xml:space="preserve"> </w:t>
      </w:r>
      <w:r>
        <w:t xml:space="preserve">optimization (Hawman and Feldmann, 2018). HEK293 is a</w:t>
      </w:r>
      <w:r>
        <w:t xml:space="preserve"> </w:t>
      </w:r>
      <w:r>
        <w:t xml:space="preserve">well-recognized human cell model derived from kidney and permissive</w:t>
      </w:r>
      <w:r>
        <w:t xml:space="preserve"> </w:t>
      </w:r>
      <w:r>
        <w:t xml:space="preserve">to CCHFV infection (Foldes et al., 2020; Dai S. et al., 2021a). Moreover,</w:t>
      </w:r>
      <w:r>
        <w:t xml:space="preserve"> </w:t>
      </w:r>
      <w:r>
        <w:t xml:space="preserve">clinical observations have shown that CCHFV has tropism to kidney tis-</w:t>
      </w:r>
      <w:r>
        <w:t xml:space="preserve"> </w:t>
      </w:r>
      <w:r>
        <w:t xml:space="preserve">sue (Ardalan et al., 2006; Deveci et al., 2013; Khazaei et al., 2018; Foldes</w:t>
      </w:r>
      <w:r>
        <w:t xml:space="preserve"> </w:t>
      </w:r>
      <w:r>
        <w:t xml:space="preserve">et al., 2020). Additionally, HEK293 is a most often chosen model for</w:t>
      </w:r>
      <w:r>
        <w:t xml:space="preserve"> </w:t>
      </w:r>
      <w:r>
        <w:t xml:space="preserve">omics study because of its availability of annotated human omics data-</w:t>
      </w:r>
      <w:r>
        <w:t xml:space="preserve"> </w:t>
      </w:r>
      <w:r>
        <w:t xml:space="preserve">bases to conduct gene identi cation and function assignment and ready</w:t>
      </w:r>
      <w:r>
        <w:t xml:space="preserve"> </w:t>
      </w:r>
      <w:r>
        <w:t xml:space="preserve">validation of the omics results by further experimental analysis with it.</w:t>
      </w:r>
      <w:r>
        <w:t xml:space="preserve"> </w:t>
      </w:r>
      <w:r>
        <w:t xml:space="preserve">Thus, we here establish a cellular transcriptome pro le of CCHFV</w:t>
      </w:r>
    </w:p>
    <w:p>
      <w:pPr>
        <w:pStyle w:val="BodyText"/>
      </w:pPr>
      <w:r>
        <w:t xml:space="preserve">Protein degradation was more pronounced at the later stage of infection (24 hpi)</w:t>
      </w:r>
      <w:r>
        <w:t xml:space="preserve"> </w:t>
      </w:r>
      <w:r>
        <w:t xml:space="preserve">Why use avirulent THEV?</w:t>
      </w:r>
    </w:p>
    <w:p>
      <w:pPr>
        <w:pStyle w:val="BodyText"/>
      </w:pPr>
      <w:r>
        <w:t xml:space="preserve">In the proposed model of THEV immunopathogenesis (</w:t>
      </w:r>
      <w:r>
        <w:rPr>
          <w:b/>
          <w:bCs/>
        </w:rPr>
        <w:t xml:space="preserve">Figure 1</w:t>
      </w:r>
      <w:r>
        <w:t xml:space="preserve">), cytokines are key players. However, the primary cytokines (IFN-</w:t>
      </w:r>
      <m:oMath>
        <m:r>
          <m:t>α</m:t>
        </m:r>
      </m:oMath>
      <w:r>
        <w:t xml:space="preserve">, IFN-</w:t>
      </w:r>
      <m:oMath>
        <m:r>
          <m:t>β</m:t>
        </m:r>
      </m:oMath>
      <w:r>
        <w:t xml:space="preserve">, IFN-</w:t>
      </w:r>
      <m:oMath>
        <m:r>
          <m:t>γ</m:t>
        </m:r>
      </m:oMath>
      <w:r>
        <w:t xml:space="preserve"> </w:t>
      </w:r>
      <w:r>
        <w:t xml:space="preserve">TNF, IL-6, and NO) were not significantly differentially expressed in our data. This may be due to:</w:t>
      </w:r>
      <w:r>
        <w:t xml:space="preserve"> </w:t>
      </w:r>
      <w:r>
        <w:t xml:space="preserve">1. B-cell culture does cannot simulate cell interactions which are key in the model -&gt; Full onset of cytokine release require communication</w:t>
      </w:r>
      <w:r>
        <w:t xml:space="preserve"> </w:t>
      </w:r>
      <w:r>
        <w:t xml:space="preserve">2. Cytokines may not play a dominant role in THEV-induced IMS since TNF-blocking drug (thalidomide) only prevented intestinal disease not immunosuppression.</w:t>
      </w:r>
      <w:r>
        <w:t xml:space="preserve"> </w:t>
      </w:r>
      <w:r>
        <w:t xml:space="preserve">3. This RNA-seq shows apoptosis but not the key cytokines in the model. Non-cytokine mediate cell death?</w:t>
      </w:r>
    </w:p>
    <w:p>
      <w:pPr>
        <w:pStyle w:val="BodyText"/>
      </w:pPr>
      <w:r>
        <w:t xml:space="preserve">We may not have seen a measurable immune response/pathway enrichment in the infected host cells because the these B-cells may likely require other immune cells such as macrophages and T-cells for activation/mount an immune response. Also, those cytokine measurement were recorded in cell culture or splenocytes (not just B cells). Additionally, cytokines may not play a dominant role in THEV-induced IMS since TNF-blocking drug (thalidomide) only prevented intestinal disease not immunosuppression, suggesting that the mechanism of IMS and intestinal disease are distinct. Secondly, the curated data in the GO, and KEGG databases are most complete for human and other model organisms; hence, there may not be enough information curated for turkeys to highlight the anything that is not very strong immune response. However, several immune genes such as: …. were significantly differentially expressed.</w:t>
      </w:r>
    </w:p>
    <w:p>
      <w:pPr>
        <w:pStyle w:val="BodyText"/>
      </w:pPr>
      <w:r>
        <w:t xml:space="preserve">Regulation of genes involved in the cell cycle during THEV infection seemed complicated at 12 hpi, since both positive and negative regulators were both up- or down-regulated.</w:t>
      </w:r>
      <w:r>
        <w:t xml:space="preserve"> </w:t>
      </w:r>
    </w:p>
    <w:bookmarkEnd w:id="25"/>
    <w:bookmarkStart w:id="26" w:name="conclusions"/>
    <w:p>
      <w:pPr>
        <w:pStyle w:val="Heading2"/>
      </w:pPr>
      <w:r>
        <w:t xml:space="preserve">CONCLUSIONS</w:t>
      </w:r>
    </w:p>
    <w:p>
      <w:r>
        <w:br w:type="page"/>
      </w:r>
    </w:p>
    <w:bookmarkEnd w:id="26"/>
    <w:bookmarkStart w:id="35" w:name="materials-and-methods"/>
    <w:p>
      <w:pPr>
        <w:pStyle w:val="Heading2"/>
      </w:pPr>
      <w:r>
        <w:t xml:space="preserve">MATERIALS AND METHODS</w:t>
      </w:r>
    </w:p>
    <w:bookmarkStart w:id="27" w:name="cell-culture-and-thev-infection"/>
    <w:p>
      <w:pPr>
        <w:pStyle w:val="Heading3"/>
      </w:pPr>
      <w:r>
        <w:t xml:space="preserve">Cell culture and THEV Infection</w:t>
      </w:r>
    </w:p>
    <w:p>
      <w:pPr>
        <w:pStyle w:val="FirstParagraph"/>
      </w:pP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(33)</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bookmarkEnd w:id="27"/>
    <w:bookmarkStart w:id="28"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bookmarkEnd w:id="28"/>
    <w:bookmarkStart w:id="30" w:name="quality-control-and-mapping-process"/>
    <w:p>
      <w:pPr>
        <w:pStyle w:val="Heading3"/>
      </w:pPr>
      <w:r>
        <w:t xml:space="preserve">Quality Control and Mapping Process</w:t>
      </w:r>
    </w:p>
    <w:p>
      <w:pPr>
        <w:pStyle w:val="FirstParagraph"/>
      </w:pP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(34)</w:t>
      </w:r>
      <w:r>
        <w:t xml:space="preserve">, a popular workflow management system to drive the pipeline. Briefly, raw sequencing reads were trimmed with Cutadapt - version 1.10</w:t>
      </w:r>
      <w:r>
        <w:t xml:space="preserve"> </w:t>
      </w:r>
      <w:r>
        <w:t xml:space="preserve">(35)</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file GCF_000146605.3_Turkey_5.1_genomic.fna.gz from NCBI (</w:t>
      </w:r>
      <w:hyperlink r:id="rId29">
        <w:r>
          <w:rPr>
            <w:rStyle w:val="Hyperlink"/>
          </w:rPr>
          <w:t xml:space="preserve">https://ftp.ncbi.nlm.nih.gov/genomes/all/GCF/000/146/605/GCF_000146605.3_Turkey_5.1/</w:t>
        </w:r>
      </w:hyperlink>
      <w:r>
        <w:t xml:space="preserve">) with Hisat2 - version 2.2.1</w:t>
      </w:r>
      <w:r>
        <w:t xml:space="preserve"> </w:t>
      </w:r>
      <w:r>
        <w:t xml:space="preserve">(19)</w:t>
      </w:r>
      <w:r>
        <w:t xml:space="preserve"> </w:t>
      </w:r>
      <w:r>
        <w:t xml:space="preserve">using the accompanying gene transfer format (GTF) annotation file (GCF_000146605.3_Turkey_5.1_genomic.gtf.gz)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bookmarkEnd w:id="30"/>
    <w:bookmarkStart w:id="31" w:name="X750ecba245d8e213ee0ceddd05aa3c7d73951fa"/>
    <w:p>
      <w:pPr>
        <w:pStyle w:val="Heading3"/>
      </w:pPr>
      <w:r>
        <w:t xml:space="preserve">DEG Analysis and Functional Enrichment Analysis</w:t>
      </w:r>
    </w:p>
    <w:p>
      <w:pPr>
        <w:pStyle w:val="FirstParagraph"/>
      </w:pP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sequencing data (FASTQ files) and read count data are deposited at NCBI Gene Expression Omnibus under accession number ###. The functional profiling of DEGs (GO and KEGG analyses) were performed based on GO databases and KEGG databases using DAVID and the R package gprofiler2</w:t>
      </w:r>
      <w:r>
        <w:t xml:space="preserve"> </w:t>
      </w:r>
      <w:r>
        <w:t xml:space="preserve">(22)</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All visualization plots were made using ggplot2, pheatmap, and ggvenn R packages</w:t>
      </w:r>
      <w:r>
        <w:t xml:space="preserve"> </w:t>
      </w:r>
      <w:r>
        <w:t xml:space="preserve">(36–38)</w:t>
      </w:r>
      <w:r>
        <w:t xml:space="preserve">.</w:t>
      </w:r>
    </w:p>
    <w:bookmarkEnd w:id="31"/>
    <w:bookmarkStart w:id="33" w:name="X57ce605da03666a80a34cf0c6ec1aa107314306"/>
    <w:p>
      <w:pPr>
        <w:pStyle w:val="Heading3"/>
      </w:pPr>
      <w:r>
        <w:t xml:space="preserve">Validation of DEGs by Reverse Transcriptase Quantitative PCR (RT-qPCR)</w:t>
      </w:r>
    </w:p>
    <w:p>
      <w:pPr>
        <w:pStyle w:val="FirstParagraph"/>
      </w:pPr>
      <w:r>
        <w:t xml:space="preserve">The gene expression levels of representative DEGs (</w:t>
      </w:r>
      <w:r>
        <w:rPr>
          <w:i/>
          <w:iCs/>
        </w:rPr>
        <w:t xml:space="preserve">APAF1, BMF, FADD, PDCD4, MADD, VCP, UFD1, EDEM1, EIF3D, EIF3M, RPL8, RPL10A</w:t>
      </w:r>
      <w:r>
        <w:t xml:space="preserve">) were validated by quantification of relative mRNA levels with turkey</w:t>
      </w:r>
      <w:r>
        <w:t xml:space="preserve"> </w:t>
      </w:r>
      <w:r>
        <w:rPr>
          <w:i/>
          <w:iCs/>
        </w:rPr>
        <w:t xml:space="preserve">GAPDH</w:t>
      </w:r>
      <w:r>
        <w:t xml:space="preserve"> </w:t>
      </w:r>
      <w:r>
        <w:t xml:space="preserve">mRNA levels as the control gene. Briefly, the samples were infected and RNA extracted as described for the RNA sequencing samples with three biological replicates at 12 and 24 hpi each for both THEV-infected or mock-infected samples. First-strand cDNA synthesis of total RNA was performed with an oligo-dT primer to amplify poly-A-tailed mRNA using SuperScript™ IV First-Strand Synthesis System. The parent RNA were digested using RNase H after cDNA synthesis was complete to ensured that only cDNA remain as the template for the RT-qPCR quantification. The RT-qPCR was performed with the PowerUp™ SYBR™ Green master mix from Applied Biosystems with primers designed manually in the SnapGene software. The primers were checked for specificity using NCBI Nucleotide BLAST (</w:t>
      </w:r>
      <w:hyperlink r:id="rId32">
        <w:r>
          <w:rPr>
            <w:rStyle w:val="Hyperlink"/>
          </w:rPr>
          <w:t xml:space="preserve">https://blast.ncbi.nlm.nih.gov/Blast.cgi?PROGRAM=blastn</w:t>
        </w:r>
      </w:hyperlink>
      <w:r>
        <w:t xml:space="preserve">) before use. All primers used in this study are listed in</w:t>
      </w:r>
      <w:r>
        <w:t xml:space="preserve"> </w:t>
      </w:r>
      <w:r>
        <w:rPr>
          <w:b/>
          <w:bCs/>
        </w:rPr>
        <w:t xml:space="preserve">Supplementary Table S3</w:t>
      </w:r>
      <w:r>
        <w:t xml:space="preserve">. Relative mRNA levels were calculated by 2</w:t>
      </w:r>
      <w:r>
        <w:rPr>
          <w:vertAlign w:val="superscript"/>
        </w:rPr>
        <w:t xml:space="preserve">-</w:t>
      </w:r>
      <m:oMath>
        <m:r>
          <m:t>Δ</m:t>
        </m:r>
      </m:oMath>
      <m:oMath>
        <m:r>
          <m:t>Δ</m:t>
        </m:r>
      </m:oMath>
      <w:r>
        <w:rPr>
          <w:vertAlign w:val="superscript"/>
        </w:rPr>
        <w:t xml:space="preserve">CT</w:t>
      </w:r>
      <w:r>
        <w:t xml:space="preserve"> </w:t>
      </w:r>
      <w:r>
        <w:t xml:space="preserve">method</w:t>
      </w:r>
      <w:r>
        <w:t xml:space="preserve"> </w:t>
      </w:r>
      <w:r>
        <w:t xml:space="preserve">(39)</w:t>
      </w:r>
      <w:r>
        <w:t xml:space="preserve">.</w:t>
      </w:r>
    </w:p>
    <w:bookmarkEnd w:id="33"/>
    <w:bookmarkStart w:id="34" w:name="statistical-analysis"/>
    <w:p>
      <w:pPr>
        <w:pStyle w:val="Heading3"/>
      </w:pPr>
      <w:r>
        <w:t xml:space="preserve">Statistical Analysis</w:t>
      </w:r>
    </w:p>
    <w:p>
      <w:pPr>
        <w:pStyle w:val="FirstParagraph"/>
      </w:pPr>
      <w:r>
        <w:t xml:space="preserve">Statistical analyses of the RT-qPCR results were performed using R (Version 4.3.3) with Student’s t-test and Mann-Whitney U test for the comparison between two groups. A difference with P-value</w:t>
      </w:r>
      <w:r>
        <w:t xml:space="preserve"> </w:t>
      </w:r>
      <m:oMath>
        <m:r>
          <m:rPr>
            <m:sty m:val="p"/>
          </m:rPr>
          <m:t>≤</m:t>
        </m:r>
      </m:oMath>
      <w:r>
        <w:t xml:space="preserve"> </w:t>
      </w:r>
      <w:r>
        <w:t xml:space="preserve">0.05 was considered statistically significant.</w:t>
      </w:r>
      <w:r>
        <w:t xml:space="preserve"> </w:t>
      </w:r>
    </w:p>
    <w:bookmarkEnd w:id="34"/>
    <w:bookmarkEnd w:id="35"/>
    <w:bookmarkStart w:id="36" w:name="data-availability"/>
    <w:p>
      <w:pPr>
        <w:pStyle w:val="Heading2"/>
      </w:pPr>
      <w:r>
        <w:t xml:space="preserve">DATA AVAILABILITY</w:t>
      </w:r>
    </w:p>
    <w:p>
      <w:pPr>
        <w:pStyle w:val="FirstParagraph"/>
      </w:pPr>
      <w:r>
        <w:t xml:space="preserve">The raw sequencing read data (FastQ), transcript expression counts, and total DEGs identified at 12 and 24 hpi have been deposited at the NCBI Gene Expression Omnibus (</w:t>
      </w:r>
      <w:hyperlink r:id="rId23">
        <w:r>
          <w:rPr>
            <w:rStyle w:val="Hyperlink"/>
          </w:rPr>
          <w:t xml:space="preserve">http://www.ncbi.nlm.nih.gov/geo</w:t>
        </w:r>
      </w:hyperlink>
      <w:r>
        <w:t xml:space="preserve">) under accession number ######.</w:t>
      </w:r>
      <w:r>
        <w:t xml:space="preserve"> </w:t>
      </w:r>
    </w:p>
    <w:bookmarkEnd w:id="36"/>
    <w:bookmarkStart w:id="38" w:name="code-availability"/>
    <w:p>
      <w:pPr>
        <w:pStyle w:val="Heading2"/>
      </w:pPr>
      <w:r>
        <w:t xml:space="preserve">CODE AVAILABILITY</w:t>
      </w:r>
    </w:p>
    <w:p>
      <w:pPr>
        <w:pStyle w:val="FirstParagraph"/>
      </w:pPr>
      <w:r>
        <w:t xml:space="preserve">All the code/scripts in the entire analysis pipeline are available on github (</w:t>
      </w:r>
      <w:hyperlink r:id="rId37">
        <w:r>
          <w:rPr>
            <w:rStyle w:val="Hyperlink"/>
          </w:rPr>
          <w:t xml:space="preserve">https://github.com/Abraham-Quaye/host_rna_seq</w:t>
        </w:r>
      </w:hyperlink>
      <w:r>
        <w:t xml:space="preserve">)</w:t>
      </w:r>
      <w:r>
        <w:t xml:space="preserve"> </w:t>
      </w:r>
    </w:p>
    <w:bookmarkEnd w:id="38"/>
    <w:bookmarkStart w:id="39" w:name="acknowledgments"/>
    <w:p>
      <w:pPr>
        <w:pStyle w:val="Heading2"/>
      </w:pPr>
      <w:r>
        <w:t xml:space="preserve">ACKNOWLEDGMENTS</w:t>
      </w:r>
    </w:p>
    <w:p>
      <w:pPr>
        <w:pStyle w:val="FirstParagraph"/>
      </w:pPr>
      <w:r>
        <w:t xml:space="preserve">We thank the Office of Research Computing at Brigham Young University for granting us access to the high-performance computing systems to perform the memory-intensive steps in the analysis pipeline of this work.</w:t>
      </w:r>
      <w:r>
        <w:t xml:space="preserve"> </w:t>
      </w:r>
    </w:p>
    <w:bookmarkEnd w:id="39"/>
    <w:bookmarkStart w:id="115" w:name="references"/>
    <w:p>
      <w:pPr>
        <w:pStyle w:val="Heading2"/>
      </w:pPr>
      <w:r>
        <w:t xml:space="preserve">REFERENCES</w:t>
      </w:r>
    </w:p>
    <w:p>
      <w:pPr>
        <w:pStyle w:val="FirstParagraph"/>
      </w:pPr>
    </w:p>
    <w:bookmarkStart w:id="114" w:name="refs"/>
    <w:bookmarkStart w:id="41" w:name="ref-Harrach2008"/>
    <w:p>
      <w:pPr>
        <w:pStyle w:val="Bibliography"/>
      </w:pPr>
      <w:r>
        <w:t xml:space="preserve">1.</w:t>
      </w:r>
      <w:r>
        <w:t xml:space="preserve"> </w:t>
      </w:r>
      <w:r>
        <w:t xml:space="preserve">	</w:t>
      </w:r>
      <w:r>
        <w:t xml:space="preserve">Harrach B. 2008.</w:t>
      </w:r>
      <w:r>
        <w:t xml:space="preserve"> </w:t>
      </w:r>
      <w:hyperlink r:id="rId40">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1"/>
    <w:bookmarkStart w:id="43" w:name="ref-Davison2003"/>
    <w:p>
      <w:pPr>
        <w:pStyle w:val="Bibliography"/>
      </w:pPr>
      <w:r>
        <w:t xml:space="preserve">2.</w:t>
      </w:r>
      <w:r>
        <w:t xml:space="preserve"> </w:t>
      </w:r>
      <w:r>
        <w:t xml:space="preserve">	</w:t>
      </w:r>
      <w:r>
        <w:t xml:space="preserve">Davison A, Benko M, Harrach B. 2003.</w:t>
      </w:r>
      <w:r>
        <w:t xml:space="preserve"> </w:t>
      </w:r>
      <w:hyperlink r:id="rId42">
        <w:r>
          <w:rPr>
            <w:rStyle w:val="Hyperlink"/>
          </w:rPr>
          <w:t xml:space="preserve">Genetic content and evolution of adenoviruses</w:t>
        </w:r>
      </w:hyperlink>
      <w:r>
        <w:t xml:space="preserve">. The Journal of general virology 84:2895–908.</w:t>
      </w:r>
    </w:p>
    <w:bookmarkEnd w:id="43"/>
    <w:bookmarkStart w:id="44" w:name="ref-Gross1967"/>
    <w:p>
      <w:pPr>
        <w:pStyle w:val="Bibliography"/>
      </w:pPr>
      <w:r>
        <w:t xml:space="preserve">3.</w:t>
      </w:r>
      <w:r>
        <w:t xml:space="preserve"> </w:t>
      </w:r>
      <w:r>
        <w:t xml:space="preserve">	</w:t>
      </w:r>
      <w:r>
        <w:t xml:space="preserve">Gross WB, Moore WE. 1967. Hemorrhagic enteritis of turkeys. Avian Dis 11:296–307.</w:t>
      </w:r>
    </w:p>
    <w:bookmarkEnd w:id="44"/>
    <w:bookmarkStart w:id="46" w:name="ref-Beach2006"/>
    <w:p>
      <w:pPr>
        <w:pStyle w:val="Bibliography"/>
      </w:pPr>
      <w:r>
        <w:t xml:space="preserve">4.</w:t>
      </w:r>
      <w:r>
        <w:t xml:space="preserve"> </w:t>
      </w:r>
      <w:r>
        <w:t xml:space="preserve">	</w:t>
      </w:r>
      <w:r>
        <w:t xml:space="preserve">Beach NM. 2006.</w:t>
      </w:r>
      <w:r>
        <w:t xml:space="preserve"> </w:t>
      </w:r>
      <w:hyperlink r:id="rId45">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46"/>
    <w:bookmarkStart w:id="48"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47">
        <w:r>
          <w:rPr>
            <w:rStyle w:val="Hyperlink"/>
          </w:rPr>
          <w:t xml:space="preserve">Haemorrhagic enteritis of turkeys – current knowledge</w:t>
        </w:r>
      </w:hyperlink>
      <w:r>
        <w:t xml:space="preserve">. Veterinary Quarterly 37:31–42.</w:t>
      </w:r>
    </w:p>
    <w:bookmarkEnd w:id="48"/>
    <w:bookmarkStart w:id="50"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9">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50"/>
    <w:bookmarkStart w:id="51"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51"/>
    <w:bookmarkStart w:id="53" w:name="ref-Rautenschlein2000"/>
    <w:p>
      <w:pPr>
        <w:pStyle w:val="Bibliography"/>
      </w:pPr>
      <w:r>
        <w:t xml:space="preserve">8.</w:t>
      </w:r>
      <w:r>
        <w:t xml:space="preserve"> </w:t>
      </w:r>
      <w:r>
        <w:t xml:space="preserve">	</w:t>
      </w:r>
      <w:r>
        <w:t xml:space="preserve">Rautenschlein S, Sharma JM. 2000.</w:t>
      </w:r>
      <w:r>
        <w:t xml:space="preserve"> </w:t>
      </w:r>
      <w:hyperlink r:id="rId52">
        <w:r>
          <w:rPr>
            <w:rStyle w:val="Hyperlink"/>
          </w:rPr>
          <w:t xml:space="preserve">Immunopathogenesis of haemorrhagic enteritis virus (HEV) in turkeys</w:t>
        </w:r>
      </w:hyperlink>
      <w:r>
        <w:t xml:space="preserve">. Dev Comp Immunol 24:237–46.</w:t>
      </w:r>
    </w:p>
    <w:bookmarkEnd w:id="53"/>
    <w:bookmarkStart w:id="54"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54"/>
    <w:bookmarkStart w:id="56"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55">
        <w:r>
          <w:rPr>
            <w:rStyle w:val="Hyperlink"/>
          </w:rPr>
          <w:t xml:space="preserve">Persistent infection of turkeys with an avirulent strain of turkey hemorrhagic enteritis virus</w:t>
        </w:r>
      </w:hyperlink>
      <w:r>
        <w:t xml:space="preserve">. Avian Diseases 53:370–375.</w:t>
      </w:r>
    </w:p>
    <w:bookmarkEnd w:id="56"/>
    <w:bookmarkStart w:id="58" w:name="ref-Rautenschlein2000b"/>
    <w:p>
      <w:pPr>
        <w:pStyle w:val="Bibliography"/>
      </w:pPr>
      <w:r>
        <w:t xml:space="preserve">11.</w:t>
      </w:r>
      <w:r>
        <w:t xml:space="preserve"> </w:t>
      </w:r>
      <w:r>
        <w:t xml:space="preserve">	</w:t>
      </w:r>
      <w:r>
        <w:t xml:space="preserve">Rautenschlein S, Suresh M, Sharma JM. 2000.</w:t>
      </w:r>
      <w:r>
        <w:t xml:space="preserve"> </w:t>
      </w:r>
      <w:hyperlink r:id="rId57">
        <w:r>
          <w:rPr>
            <w:rStyle w:val="Hyperlink"/>
          </w:rPr>
          <w:t xml:space="preserve">Pathogenic avian adenovirus type II induces apoptosis in turkey spleen cells</w:t>
        </w:r>
      </w:hyperlink>
      <w:r>
        <w:t xml:space="preserve">. Archives of Virology 145:1671–1683.</w:t>
      </w:r>
    </w:p>
    <w:bookmarkEnd w:id="58"/>
    <w:bookmarkStart w:id="60"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9">
        <w:r>
          <w:rPr>
            <w:rStyle w:val="Hyperlink"/>
          </w:rPr>
          <w:t xml:space="preserve">Next-generation sequencing technology: Current trends and advancements</w:t>
        </w:r>
      </w:hyperlink>
      <w:r>
        <w:t xml:space="preserve">. Biology 12:997.</w:t>
      </w:r>
    </w:p>
    <w:bookmarkEnd w:id="60"/>
    <w:bookmarkStart w:id="62" w:name="ref-Pandey2023"/>
    <w:p>
      <w:pPr>
        <w:pStyle w:val="Bibliography"/>
      </w:pPr>
      <w:r>
        <w:t xml:space="preserve">13.</w:t>
      </w:r>
      <w:r>
        <w:t xml:space="preserve"> </w:t>
      </w:r>
      <w:r>
        <w:t xml:space="preserve">	</w:t>
      </w:r>
      <w:r>
        <w:t xml:space="preserve">Pandey D, Onkara Perumal P. 2023.</w:t>
      </w:r>
      <w:r>
        <w:t xml:space="preserve"> </w:t>
      </w:r>
      <w:hyperlink r:id="rId61">
        <w:r>
          <w:rPr>
            <w:rStyle w:val="Hyperlink"/>
          </w:rPr>
          <w:t xml:space="preserve">A scoping review on deep learning for next-generation RNA-seq. Data analysis</w:t>
        </w:r>
      </w:hyperlink>
      <w:r>
        <w:t xml:space="preserve">. Functional &amp;amp; Integrative Genomics 23.</w:t>
      </w:r>
    </w:p>
    <w:bookmarkEnd w:id="62"/>
    <w:bookmarkStart w:id="64" w:name="ref-Wang2019"/>
    <w:p>
      <w:pPr>
        <w:pStyle w:val="Bibliography"/>
      </w:pPr>
      <w:r>
        <w:t xml:space="preserve">14.</w:t>
      </w:r>
      <w:r>
        <w:t xml:space="preserve"> </w:t>
      </w:r>
      <w:r>
        <w:t xml:space="preserve">	</w:t>
      </w:r>
      <w:r>
        <w:t xml:space="preserve">Wang B, Kumar V, Olson A, Ware D. 2019.</w:t>
      </w:r>
      <w:r>
        <w:t xml:space="preserve"> </w:t>
      </w:r>
      <w:hyperlink r:id="rId63">
        <w:r>
          <w:rPr>
            <w:rStyle w:val="Hyperlink"/>
          </w:rPr>
          <w:t xml:space="preserve">Reviving the transcriptome studies: An insight into the emergence of single-molecule transcriptome sequencing</w:t>
        </w:r>
      </w:hyperlink>
      <w:r>
        <w:t xml:space="preserve">. Frontiers in Genetics 10.</w:t>
      </w:r>
    </w:p>
    <w:bookmarkEnd w:id="64"/>
    <w:bookmarkStart w:id="66" w:name="ref-Choi2016"/>
    <w:p>
      <w:pPr>
        <w:pStyle w:val="Bibliography"/>
      </w:pPr>
      <w:r>
        <w:t xml:space="preserve">15.</w:t>
      </w:r>
      <w:r>
        <w:t xml:space="preserve"> </w:t>
      </w:r>
      <w:r>
        <w:t xml:space="preserve">	</w:t>
      </w:r>
      <w:r>
        <w:t xml:space="preserve">Choi SC. 2016.</w:t>
      </w:r>
      <w:r>
        <w:t xml:space="preserve"> </w:t>
      </w:r>
      <w:hyperlink r:id="rId65">
        <w:r>
          <w:rPr>
            <w:rStyle w:val="Hyperlink"/>
          </w:rPr>
          <w:t xml:space="preserve">On the study of microbial transcriptomes using second- and third-generation sequencing technologies</w:t>
        </w:r>
      </w:hyperlink>
      <w:r>
        <w:t xml:space="preserve">. Journal of Microbiology 54:527–536.</w:t>
      </w:r>
    </w:p>
    <w:bookmarkEnd w:id="66"/>
    <w:bookmarkStart w:id="68" w:name="ref-Mo2023"/>
    <w:p>
      <w:pPr>
        <w:pStyle w:val="Bibliography"/>
      </w:pPr>
      <w:r>
        <w:t xml:space="preserve">16.</w:t>
      </w:r>
      <w:r>
        <w:t xml:space="preserve"> </w:t>
      </w:r>
      <w:r>
        <w:t xml:space="preserve">	</w:t>
      </w:r>
      <w:r>
        <w:t xml:space="preserve">Mo Q, Feng K, Dai S, Wu Q, Zhang Z, Ali A, Deng F, Wang H, Ning Y-J. 2023.</w:t>
      </w:r>
      <w:r>
        <w:t xml:space="preserve"> </w:t>
      </w:r>
      <w:hyperlink r:id="rId67">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8"/>
    <w:bookmarkStart w:id="70"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9">
        <w:r>
          <w:rPr>
            <w:rStyle w:val="Hyperlink"/>
          </w:rPr>
          <w:t xml:space="preserve">Gene ontology: Tool for the unification of biology</w:t>
        </w:r>
      </w:hyperlink>
      <w:r>
        <w:t xml:space="preserve">. Nature Genetics 25:25–29.</w:t>
      </w:r>
    </w:p>
    <w:bookmarkEnd w:id="70"/>
    <w:bookmarkStart w:id="72" w:name="ref-Kanehisa2000"/>
    <w:p>
      <w:pPr>
        <w:pStyle w:val="Bibliography"/>
      </w:pPr>
      <w:r>
        <w:t xml:space="preserve">18.</w:t>
      </w:r>
      <w:r>
        <w:t xml:space="preserve"> </w:t>
      </w:r>
      <w:r>
        <w:t xml:space="preserve">	</w:t>
      </w:r>
      <w:r>
        <w:t xml:space="preserve">Kanehisa M. 2000.</w:t>
      </w:r>
      <w:r>
        <w:t xml:space="preserve"> </w:t>
      </w:r>
      <w:hyperlink r:id="rId71">
        <w:r>
          <w:rPr>
            <w:rStyle w:val="Hyperlink"/>
          </w:rPr>
          <w:t xml:space="preserve">KEGG: Kyoto encyclopedia of genes and genomes</w:t>
        </w:r>
      </w:hyperlink>
      <w:r>
        <w:t xml:space="preserve">. Nucleic Acids Research 28:27–30.</w:t>
      </w:r>
    </w:p>
    <w:bookmarkEnd w:id="72"/>
    <w:bookmarkStart w:id="74" w:name="ref-Pertea2016"/>
    <w:p>
      <w:pPr>
        <w:pStyle w:val="Bibliography"/>
      </w:pPr>
      <w:r>
        <w:t xml:space="preserve">19.</w:t>
      </w:r>
      <w:r>
        <w:t xml:space="preserve"> </w:t>
      </w:r>
      <w:r>
        <w:t xml:space="preserve">	</w:t>
      </w:r>
      <w:r>
        <w:t xml:space="preserve">Pertea M, Kim D, Pertea GM, Leek JT, Salzberg SL. 2016.</w:t>
      </w:r>
      <w:r>
        <w:t xml:space="preserve"> </w:t>
      </w:r>
      <w:hyperlink r:id="rId73">
        <w:r>
          <w:rPr>
            <w:rStyle w:val="Hyperlink"/>
          </w:rPr>
          <w:t xml:space="preserve">Transcript-level expression analysis of RNA-seq experiments with HISAT, StringTie and ballgown</w:t>
        </w:r>
      </w:hyperlink>
      <w:r>
        <w:t xml:space="preserve">. Nature Protocols 11:1650–1667.</w:t>
      </w:r>
    </w:p>
    <w:bookmarkEnd w:id="74"/>
    <w:bookmarkStart w:id="76" w:name="ref-Deseq2"/>
    <w:p>
      <w:pPr>
        <w:pStyle w:val="Bibliography"/>
      </w:pPr>
      <w:r>
        <w:t xml:space="preserve">20.</w:t>
      </w:r>
      <w:r>
        <w:t xml:space="preserve"> </w:t>
      </w:r>
      <w:r>
        <w:t xml:space="preserve">	</w:t>
      </w:r>
      <w:r>
        <w:t xml:space="preserve">Love MI, Huber W, Anders S. 2014.</w:t>
      </w:r>
      <w:r>
        <w:t xml:space="preserve"> </w:t>
      </w:r>
      <w:hyperlink r:id="rId75">
        <w:r>
          <w:rPr>
            <w:rStyle w:val="Hyperlink"/>
          </w:rPr>
          <w:t xml:space="preserve">Moderated estimation of fold change and dispersion for RNA-seq data with DESeq2</w:t>
        </w:r>
      </w:hyperlink>
      <w:r>
        <w:t xml:space="preserve">. Genome Biology 15:550.</w:t>
      </w:r>
    </w:p>
    <w:bookmarkEnd w:id="76"/>
    <w:bookmarkStart w:id="78"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77">
        <w:r>
          <w:rPr>
            <w:rStyle w:val="Hyperlink"/>
          </w:rPr>
          <w:t xml:space="preserve">DAVID: A web server for functional enrichment analysis and functional annotation of gene lists (2021 update)</w:t>
        </w:r>
      </w:hyperlink>
      <w:r>
        <w:t xml:space="preserve">. Nucleic Acids Research 50:W216–W221.</w:t>
      </w:r>
    </w:p>
    <w:bookmarkEnd w:id="78"/>
    <w:bookmarkStart w:id="79"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79"/>
    <w:bookmarkStart w:id="81" w:name="ref-Saunders1993"/>
    <w:p>
      <w:pPr>
        <w:pStyle w:val="Bibliography"/>
      </w:pPr>
      <w:r>
        <w:t xml:space="preserve">23.</w:t>
      </w:r>
      <w:r>
        <w:t xml:space="preserve"> </w:t>
      </w:r>
      <w:r>
        <w:t xml:space="preserve">	</w:t>
      </w:r>
      <w:r>
        <w:t xml:space="preserve">Saunders GK, Pierson FW, Hurk JV van den. 1993.</w:t>
      </w:r>
      <w:r>
        <w:t xml:space="preserve"> </w:t>
      </w:r>
      <w:hyperlink r:id="rId80">
        <w:r>
          <w:rPr>
            <w:rStyle w:val="Hyperlink"/>
          </w:rPr>
          <w:t xml:space="preserve">Haemorhagic enteritis virus infection in turkeys: A comparison of virulent and avirulent virus infections, and a proposed pathogenesis</w:t>
        </w:r>
      </w:hyperlink>
      <w:r>
        <w:t xml:space="preserve">. Avian Pathology 22:47–58.</w:t>
      </w:r>
    </w:p>
    <w:bookmarkEnd w:id="81"/>
    <w:bookmarkStart w:id="83" w:name="ref-Barber2001"/>
    <w:p>
      <w:pPr>
        <w:pStyle w:val="Bibliography"/>
      </w:pPr>
      <w:r>
        <w:t xml:space="preserve">24.</w:t>
      </w:r>
      <w:r>
        <w:t xml:space="preserve"> </w:t>
      </w:r>
      <w:r>
        <w:t xml:space="preserve">	</w:t>
      </w:r>
      <w:r>
        <w:t xml:space="preserve">Barber GN. 2001.</w:t>
      </w:r>
      <w:r>
        <w:t xml:space="preserve"> </w:t>
      </w:r>
      <w:hyperlink r:id="rId82">
        <w:r>
          <w:rPr>
            <w:rStyle w:val="Hyperlink"/>
          </w:rPr>
          <w:t xml:space="preserve">Host defense, viruses and apoptosis</w:t>
        </w:r>
      </w:hyperlink>
      <w:r>
        <w:t xml:space="preserve">. Cell Death &amp;amp; Differentiation 8:113–126.</w:t>
      </w:r>
    </w:p>
    <w:bookmarkEnd w:id="83"/>
    <w:bookmarkStart w:id="85" w:name="ref-Hardwick1997"/>
    <w:p>
      <w:pPr>
        <w:pStyle w:val="Bibliography"/>
      </w:pPr>
      <w:r>
        <w:t xml:space="preserve">25.</w:t>
      </w:r>
      <w:r>
        <w:t xml:space="preserve"> </w:t>
      </w:r>
      <w:r>
        <w:t xml:space="preserve">	</w:t>
      </w:r>
      <w:r>
        <w:t xml:space="preserve">Hardwick JM. 1997.</w:t>
      </w:r>
      <w:r>
        <w:t xml:space="preserve"> </w:t>
      </w:r>
      <w:hyperlink r:id="rId84">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85"/>
    <w:bookmarkStart w:id="87"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86">
        <w:r>
          <w:rPr>
            <w:rStyle w:val="Hyperlink"/>
          </w:rPr>
          <w:t xml:space="preserve">Viral-mediated activation and inhibition of programmed cell death</w:t>
        </w:r>
      </w:hyperlink>
      <w:r>
        <w:t xml:space="preserve">. PLOS Pathogens 18:e1010718.</w:t>
      </w:r>
    </w:p>
    <w:bookmarkEnd w:id="87"/>
    <w:bookmarkStart w:id="89" w:name="ref-Ezoe1981"/>
    <w:p>
      <w:pPr>
        <w:pStyle w:val="Bibliography"/>
      </w:pPr>
      <w:r>
        <w:t xml:space="preserve">27.</w:t>
      </w:r>
      <w:r>
        <w:t xml:space="preserve"> </w:t>
      </w:r>
      <w:r>
        <w:t xml:space="preserve">	</w:t>
      </w:r>
      <w:r>
        <w:t xml:space="preserve">Ezoe H, Fatt RB, Mak S. 1981.</w:t>
      </w:r>
      <w:r>
        <w:t xml:space="preserve"> </w:t>
      </w:r>
      <w:hyperlink r:id="rId88">
        <w:r>
          <w:rPr>
            <w:rStyle w:val="Hyperlink"/>
          </w:rPr>
          <w:t xml:space="preserve">Degradation of intracellular DNA in KB cells infected with cyt mutants of human adenovirus type 12</w:t>
        </w:r>
      </w:hyperlink>
      <w:r>
        <w:t xml:space="preserve">. Journal of Virology 40:20–27.</w:t>
      </w:r>
    </w:p>
    <w:bookmarkEnd w:id="89"/>
    <w:bookmarkStart w:id="91" w:name="ref-Quaye2024"/>
    <w:p>
      <w:pPr>
        <w:pStyle w:val="Bibliography"/>
      </w:pPr>
      <w:r>
        <w:t xml:space="preserve">28.</w:t>
      </w:r>
      <w:r>
        <w:t xml:space="preserve"> </w:t>
      </w:r>
      <w:r>
        <w:t xml:space="preserve">	</w:t>
      </w:r>
      <w:r>
        <w:t xml:space="preserve">Quaye A, Pickett BE, Griffitts JS, Berges BK, Poole BD. 2024.</w:t>
      </w:r>
      <w:r>
        <w:t xml:space="preserve"> </w:t>
      </w:r>
      <w:hyperlink r:id="rId90">
        <w:r>
          <w:rPr>
            <w:rStyle w:val="Hyperlink"/>
          </w:rPr>
          <w:t xml:space="preserve">Characterizing the splice map of turkey hemorrhagic enteritis virus</w:t>
        </w:r>
      </w:hyperlink>
      <w:r>
        <w:t xml:space="preserve">. Virology Journal 21.</w:t>
      </w:r>
    </w:p>
    <w:bookmarkEnd w:id="91"/>
    <w:bookmarkStart w:id="93" w:name="ref-Guimet2016"/>
    <w:p>
      <w:pPr>
        <w:pStyle w:val="Bibliography"/>
      </w:pPr>
      <w:r>
        <w:t xml:space="preserve">29.</w:t>
      </w:r>
      <w:r>
        <w:t xml:space="preserve"> </w:t>
      </w:r>
      <w:r>
        <w:t xml:space="preserve">	</w:t>
      </w:r>
      <w:r>
        <w:t xml:space="preserve">Guimet D, Hearing P. 2016.</w:t>
      </w:r>
      <w:r>
        <w:t xml:space="preserve"> </w:t>
      </w:r>
      <w:hyperlink r:id="rId92">
        <w:r>
          <w:rPr>
            <w:rStyle w:val="Hyperlink"/>
          </w:rPr>
          <w:t xml:space="preserve">Adenovirus replication</w:t>
        </w:r>
      </w:hyperlink>
      <w:r>
        <w:t xml:space="preserve">, p. 59–84.</w:t>
      </w:r>
      <w:r>
        <w:t xml:space="preserve"> </w:t>
      </w:r>
      <w:r>
        <w:rPr>
          <w:i/>
          <w:iCs/>
        </w:rPr>
        <w:t xml:space="preserve">In</w:t>
      </w:r>
      <w:r>
        <w:t xml:space="preserve"> </w:t>
      </w:r>
      <w:r>
        <w:t xml:space="preserve">Adenoviral vectors for gene therapy. Elsevier.</w:t>
      </w:r>
    </w:p>
    <w:bookmarkEnd w:id="93"/>
    <w:bookmarkStart w:id="95" w:name="ref-Roos2006"/>
    <w:p>
      <w:pPr>
        <w:pStyle w:val="Bibliography"/>
      </w:pPr>
      <w:r>
        <w:t xml:space="preserve">30.</w:t>
      </w:r>
      <w:r>
        <w:t xml:space="preserve"> </w:t>
      </w:r>
      <w:r>
        <w:t xml:space="preserve">	</w:t>
      </w:r>
      <w:r>
        <w:t xml:space="preserve">Roos WP, Kaina B. 2006.</w:t>
      </w:r>
      <w:r>
        <w:t xml:space="preserve"> </w:t>
      </w:r>
      <w:hyperlink r:id="rId94">
        <w:r>
          <w:rPr>
            <w:rStyle w:val="Hyperlink"/>
          </w:rPr>
          <w:t xml:space="preserve">DNA damage-induced cell death by apoptosis</w:t>
        </w:r>
      </w:hyperlink>
      <w:r>
        <w:t xml:space="preserve">. Trends in Molecular Medicine 12:440–450.</w:t>
      </w:r>
    </w:p>
    <w:bookmarkEnd w:id="95"/>
    <w:bookmarkStart w:id="97" w:name="ref-Martin1993"/>
    <w:p>
      <w:pPr>
        <w:pStyle w:val="Bibliography"/>
      </w:pPr>
      <w:r>
        <w:t xml:space="preserve">31.</w:t>
      </w:r>
      <w:r>
        <w:t xml:space="preserve"> </w:t>
      </w:r>
      <w:r>
        <w:t xml:space="preserve">	</w:t>
      </w:r>
      <w:r>
        <w:t xml:space="preserve">Martin SJ. 1993.</w:t>
      </w:r>
      <w:r>
        <w:t xml:space="preserve"> </w:t>
      </w:r>
      <w:hyperlink r:id="rId96">
        <w:r>
          <w:rPr>
            <w:rStyle w:val="Hyperlink"/>
          </w:rPr>
          <w:t xml:space="preserve">Protein or RNA synthesis inhibition induces apoptosis of mature human CD4+ t cell blasts</w:t>
        </w:r>
      </w:hyperlink>
      <w:r>
        <w:t xml:space="preserve">. Immunology Letters 35:125–134.</w:t>
      </w:r>
    </w:p>
    <w:bookmarkEnd w:id="97"/>
    <w:bookmarkStart w:id="99" w:name="ref-Christianson2022"/>
    <w:p>
      <w:pPr>
        <w:pStyle w:val="Bibliography"/>
      </w:pPr>
      <w:r>
        <w:t xml:space="preserve">32.</w:t>
      </w:r>
      <w:r>
        <w:t xml:space="preserve"> </w:t>
      </w:r>
      <w:r>
        <w:t xml:space="preserve">	</w:t>
      </w:r>
      <w:r>
        <w:t xml:space="preserve">Christianson JC, Carvalho P. 2022.</w:t>
      </w:r>
      <w:r>
        <w:t xml:space="preserve"> </w:t>
      </w:r>
      <w:hyperlink r:id="rId98">
        <w:r>
          <w:rPr>
            <w:rStyle w:val="Hyperlink"/>
          </w:rPr>
          <w:t xml:space="preserve">Order through destruction: How ER‐associated protein degradation contributes to organelle homeostasis</w:t>
        </w:r>
      </w:hyperlink>
      <w:r>
        <w:t xml:space="preserve">. The EMBO Journal 41.</w:t>
      </w:r>
    </w:p>
    <w:bookmarkEnd w:id="99"/>
    <w:bookmarkStart w:id="101" w:name="ref-Mahsoub2017"/>
    <w:p>
      <w:pPr>
        <w:pStyle w:val="Bibliography"/>
      </w:pPr>
      <w:r>
        <w:t xml:space="preserve">33.</w:t>
      </w:r>
      <w:r>
        <w:t xml:space="preserve"> </w:t>
      </w:r>
      <w:r>
        <w:t xml:space="preserve">	</w:t>
      </w:r>
      <w:r>
        <w:t xml:space="preserve">Mahsoub HM, Evans NP, Beach NM, Yuan L, Zimmerman K, Pierson FW. 2017.</w:t>
      </w:r>
      <w:r>
        <w:t xml:space="preserve"> </w:t>
      </w:r>
      <w:hyperlink r:id="rId100">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101"/>
    <w:bookmarkStart w:id="103" w:name="ref-Snakemake2021"/>
    <w:p>
      <w:pPr>
        <w:pStyle w:val="Bibliography"/>
      </w:pPr>
      <w:r>
        <w:t xml:space="preserve">34.</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102">
        <w:r>
          <w:rPr>
            <w:rStyle w:val="Hyperlink"/>
          </w:rPr>
          <w:t xml:space="preserve">Sustainable data analysis with snakemake</w:t>
        </w:r>
      </w:hyperlink>
      <w:r>
        <w:t xml:space="preserve">. F1000Research 10:33.</w:t>
      </w:r>
    </w:p>
    <w:bookmarkEnd w:id="103"/>
    <w:bookmarkStart w:id="105" w:name="ref-Martin2011"/>
    <w:p>
      <w:pPr>
        <w:pStyle w:val="Bibliography"/>
      </w:pPr>
      <w:r>
        <w:t xml:space="preserve">35.</w:t>
      </w:r>
      <w:r>
        <w:t xml:space="preserve"> </w:t>
      </w:r>
      <w:r>
        <w:t xml:space="preserve">	</w:t>
      </w:r>
      <w:r>
        <w:t xml:space="preserve">Martin M. 2011.</w:t>
      </w:r>
      <w:r>
        <w:t xml:space="preserve"> </w:t>
      </w:r>
      <w:hyperlink r:id="rId104">
        <w:r>
          <w:rPr>
            <w:rStyle w:val="Hyperlink"/>
          </w:rPr>
          <w:t xml:space="preserve">Cutadapt removes adapter sequences from high-throughput sequencing reads</w:t>
        </w:r>
      </w:hyperlink>
      <w:r>
        <w:t xml:space="preserve">. EMBnetjournal 17:10.</w:t>
      </w:r>
    </w:p>
    <w:bookmarkEnd w:id="105"/>
    <w:bookmarkStart w:id="107" w:name="ref-ggplot2"/>
    <w:p>
      <w:pPr>
        <w:pStyle w:val="Bibliography"/>
      </w:pPr>
      <w:r>
        <w:t xml:space="preserve">36.</w:t>
      </w:r>
      <w:r>
        <w:t xml:space="preserve"> </w:t>
      </w:r>
      <w:r>
        <w:t xml:space="preserve">	</w:t>
      </w:r>
      <w:r>
        <w:t xml:space="preserve">Wickham H. 2016. ggplot2: Elegant graphics for data analysis. Springer-Verlag New York.</w:t>
      </w:r>
      <w:r>
        <w:t xml:space="preserve"> </w:t>
      </w:r>
      <w:hyperlink r:id="rId106">
        <w:r>
          <w:rPr>
            <w:rStyle w:val="Hyperlink"/>
          </w:rPr>
          <w:t xml:space="preserve">https://ggplot2.tidyverse.org</w:t>
        </w:r>
      </w:hyperlink>
      <w:r>
        <w:t xml:space="preserve">.</w:t>
      </w:r>
    </w:p>
    <w:bookmarkEnd w:id="107"/>
    <w:bookmarkStart w:id="109" w:name="ref-pheatmap"/>
    <w:p>
      <w:pPr>
        <w:pStyle w:val="Bibliography"/>
      </w:pPr>
      <w:r>
        <w:t xml:space="preserve">37.</w:t>
      </w:r>
      <w:r>
        <w:t xml:space="preserve"> </w:t>
      </w:r>
      <w:r>
        <w:t xml:space="preserve">	</w:t>
      </w:r>
      <w:r>
        <w:t xml:space="preserve">Kolde R. 2019. Pheatmap: Pretty heatmaps.</w:t>
      </w:r>
      <w:r>
        <w:t xml:space="preserve"> </w:t>
      </w:r>
      <w:hyperlink r:id="rId108">
        <w:r>
          <w:rPr>
            <w:rStyle w:val="Hyperlink"/>
          </w:rPr>
          <w:t xml:space="preserve">https://CRAN.R-project.org/package=pheatmap</w:t>
        </w:r>
      </w:hyperlink>
      <w:r>
        <w:t xml:space="preserve">.</w:t>
      </w:r>
    </w:p>
    <w:bookmarkEnd w:id="109"/>
    <w:bookmarkStart w:id="111" w:name="ref-ggvenn"/>
    <w:p>
      <w:pPr>
        <w:pStyle w:val="Bibliography"/>
      </w:pPr>
      <w:r>
        <w:t xml:space="preserve">38.</w:t>
      </w:r>
      <w:r>
        <w:t xml:space="preserve"> </w:t>
      </w:r>
      <w:r>
        <w:t xml:space="preserve">	</w:t>
      </w:r>
      <w:r>
        <w:t xml:space="preserve">Yan L. 2023. Ggvenn: Draw venn diagram by ’ggplot2’.</w:t>
      </w:r>
      <w:r>
        <w:t xml:space="preserve"> </w:t>
      </w:r>
      <w:hyperlink r:id="rId110">
        <w:r>
          <w:rPr>
            <w:rStyle w:val="Hyperlink"/>
          </w:rPr>
          <w:t xml:space="preserve">https://CRAN.R-project.org/package=ggvenn</w:t>
        </w:r>
      </w:hyperlink>
      <w:r>
        <w:t xml:space="preserve">.</w:t>
      </w:r>
    </w:p>
    <w:bookmarkEnd w:id="111"/>
    <w:bookmarkStart w:id="113" w:name="ref-Livak2001"/>
    <w:p>
      <w:pPr>
        <w:pStyle w:val="Bibliography"/>
      </w:pPr>
      <w:r>
        <w:t xml:space="preserve">39.</w:t>
      </w:r>
      <w:r>
        <w:t xml:space="preserve"> </w:t>
      </w:r>
      <w:r>
        <w:t xml:space="preserve">	</w:t>
      </w:r>
      <w:hyperlink r:id="rId112">
        <w:r>
          <w:rPr>
            <w:rStyle w:val="Hyperlink"/>
          </w:rPr>
          <w:t xml:space="preserve">Livak KJ, Schmittgen TD. 2001.. Methods 25:402–408</w:t>
        </w:r>
      </w:hyperlink>
      <w:r>
        <w:t xml:space="preserve">.</w:t>
      </w:r>
    </w:p>
    <w:bookmarkEnd w:id="113"/>
    <w:bookmarkEnd w:id="114"/>
    <w:p>
      <w:r>
        <w:br w:type="page"/>
      </w:r>
    </w:p>
    <w:bookmarkEnd w:id="115"/>
    <w:bookmarkStart w:id="131"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16"/>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19"/>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2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25"/>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pPr>
        <w:pStyle w:val="CaptionedFigure"/>
      </w:pPr>
      <w:r>
        <w:drawing>
          <wp:inline>
            <wp:extent cx="5943600" cy="4953000"/>
            <wp:effectExtent b="0" l="0" r="0" t="0"/>
            <wp:docPr descr="Figure 5: Validation of representative DEGs involved in Apoptosis, Protein synthesis, and ER-stress responses by RT-qPCR. MDTC-RP19 cells infected with THEV or mock infected were subjected to RT-qPCR analysis for the relative expression of the indicated DEGs at 24hpi. GAPDH was used as the internal control. Data are expressed as the mean \pm SD. All genes are statistically differentially expressed based on Student’s t-test and Mann-Whitney U test." title="" id="9" name="Picture"/>
            <a:graphic>
              <a:graphicData uri="http://schemas.openxmlformats.org/drawingml/2006/picture">
                <pic:pic>
                  <pic:nvPicPr>
                    <pic:cNvPr descr="results/r/figures/qpcr_validation.png" id="10" name="Picture"/>
                    <pic:cNvPicPr>
                      <a:picLocks noChangeArrowheads="1" noChangeAspect="1"/>
                    </pic:cNvPicPr>
                  </pic:nvPicPr>
                  <pic:blipFill>
                    <a:blip r:embed="rId128"/>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5: Validation of representative DEGs involved in Apoptosis, Protein synthesis, and ER-stress responses by RT-qPCR</w:t>
      </w:r>
      <w:r>
        <w:t xml:space="preserve">. MDTC-RP19 cells infected with THEV or mock infected were subjected to RT-qPCR analysis for the relative expression of the indicated DEGs at 24hpi. GAPDH was used as the internal control. Data are expressed as the mean</w:t>
      </w:r>
      <w:r>
        <w:t xml:space="preserve"> </w:t>
      </w:r>
      <m:oMath>
        <m:r>
          <m:rPr>
            <m:sty m:val="p"/>
          </m:rPr>
          <m:t>±</m:t>
        </m:r>
      </m:oMath>
      <w:r>
        <w:t xml:space="preserve"> </w:t>
      </w:r>
      <w:r>
        <w:t xml:space="preserve">SD. All genes are statistically differentially expressed based on Student’s t-test and Mann-Whitney U test.</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exact"/>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144" w:hRule="exact"/>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exact"/>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exact"/>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144" w:hRule="exact"/>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exact"/>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exact"/>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144" w:hRule="exact"/>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144" w:hRule="exact"/>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144" w:hRule="exact"/>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exact"/>
        </w:trPr>
        footer 1
        <w:tc>
          <w:tcPr>
            <w:gridSpan w:val="9"/>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r>
              <w:rPr>
                <w:rFonts w:ascii="DejaVu Sans" w:hAnsi="DejaVu Sans" w:eastAsia="DejaVu Sans" w:cs="DejaVu Sans"/>
                <w:i w:val="false"/>
                <w:b w:val="false"/>
                <w:u w:val="none"/>
                <w:sz w:val="12"/>
                <w:szCs w:val="12"/>
                <w:color w:val="000000"/>
              </w:rPr>
              <w:t xml:space="preserve">; </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body180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144" w:hRule="auto"/>
        </w:trPr>
        body216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43"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43"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144" w:hRule="auto"/>
        </w:trPr>
        body200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43"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43"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43"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43"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43"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43"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43"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43"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43"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43"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43"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43"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43"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43"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43"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43"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43"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43"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43"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43"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43"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43"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43"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43"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43"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43"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43"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144" w:hRule="auto"/>
        </w:trPr>
        body297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43"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43"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43"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43"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43"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43"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43"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43"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43"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43"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r>
        <w:trPr>
          <w:cantSplit/>
          <w:trHeight w:val="43"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43"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43"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43"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43"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body318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43"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43"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43"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43"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43"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43"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43"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43"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43"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43"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43"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43"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43"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43"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body172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43"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43"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144" w:hRule="auto"/>
        </w:trPr>
        body229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43"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43"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144" w:hRule="auto"/>
        </w:trPr>
        body225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43"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43"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43"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43"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43"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43"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43"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43"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43"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43"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43"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43"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43"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43"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43"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43"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43"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43"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43"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43"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43"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43"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43"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43"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43"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43"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43"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43"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43"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43"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43"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43"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43"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43"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43"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43"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43"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43"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43"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43"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43"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43"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43"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43"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43"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43"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43"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43"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144" w:hRule="auto"/>
        </w:trPr>
        body318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43"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43"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43"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43"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43"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43"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43"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43"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r>
        <w:trPr>
          <w:cantSplit/>
          <w:trHeight w:val="43"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43"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43"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43"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43"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43"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43"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43"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43"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43"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body347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body348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43" w:hRule="auto"/>
        </w:trPr>
        body349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body352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p>
      <w:r>
        <w:br w:type="page"/>
      </w:r>
    </w:p>
    <w:bookmarkEnd w:id="131"/>
    <w:bookmarkStart w:id="132" w:name="supplementary-informationmaterials"/>
    <w:p>
      <w:pPr>
        <w:pStyle w:val="Heading2"/>
      </w:pPr>
      <w:r>
        <w:t xml:space="preserve">SUPPLEMENTARY INFORMATION/MATERIALS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S3: Primers for RT-qPCR Validation of RNA-seq data</w:t>
      </w:r>
    </w:p>
    <w:tbl xmlns:w14="http://schemas.microsoft.com/office/word/2010/wordml">
      <w:tblPr>
        <w:tblLayout w:type="fixed"/>
        <w:jc w:val="start"/>
        <w:tblLook w:firstRow="1" w:lastRow="0" w:firstColumn="0" w:lastColumn="0" w:noHBand="0" w:noVBand="1"/>
      </w:tblPr>
      <w:tblGrid>
        <w:gridCol w:w="864"/>
        <w:gridCol w:w="864"/>
        <w:gridCol w:w="3168"/>
        <w:gridCol w:w="3168"/>
        <w:gridCol w:w="864"/>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Entrez 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Target Gene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Forward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Reverse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Amplicon Size</w:t>
            </w:r>
          </w:p>
        </w:tc>
      </w:tr>
      <w:tr>
        <w:trPr>
          <w:cantSplit/>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100549497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APAF1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GCTGCGCAAATACCCGAGGTC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GCCAGACACAGCATCTGTCACAC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133 bp</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100550591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BMF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CGGAGACTCTTCTATGGGAATGCTGG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CTGCTGATGCCGCTGTATGTGG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189 bp</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100543065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EDEM1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CTGGACTACAGGTGTTGATAGGAGACG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CCACTAACTCTGGCCTCAGTGG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159 bp</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100545922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GCACAGAGGAACCTTCGGAGAG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GTCACGAGGCTTCTGCTGTGAC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180 bp</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CTCTCAGACTGCAGCTACTGAGC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GTCTGTGCTGAGGTTCCAGTCAG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179 bp</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100540536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FADD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GGAGCTCTGCAACTTCCTCATGG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CCTTCATGTCAGGCCACTCATCAG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167 bp</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GAPDH</w:t>
            </w:r>
            <w:r>
              <w:rPr>
                <w:rFonts w:ascii="DejaVu Sans" w:hAnsi="DejaVu Sans" w:eastAsia="DejaVu Sans" w:cs="DejaVu Sans"/>
                <w:i w:val="tru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CACTATCTTCCAGGAGCGTGACC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CTGAGATGATAACACGCTTAGCACCAC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146 bp</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MADD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GAGCTGACGAGGTTGAACTTGCTG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CTGGCTCCAATGATAACAAGGTAGTCG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200 bp</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100547583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PDCD4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GCACAGTAGAAGTGGAGAATCTGAGTG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CTTCCTCAACCGCCTCTTTGC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161 bp</w:t>
            </w:r>
          </w:p>
        </w:tc>
      </w:tr>
      <w:tr>
        <w:trPr>
          <w:cantSplit/>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RPL10A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GGCACCGTCAGGCTGAAGTC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GGCATCGTACTTCTTAGCCAGCTTC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177 bp</w:t>
            </w:r>
          </w:p>
        </w:tc>
      </w:tr>
      <w:tr>
        <w:trPr>
          <w:cantSplit/>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GCCGAGAGACATGGCTACATCAAGG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CAGCTGAGCTTTCTTGCCACAG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186 bp</w:t>
            </w:r>
          </w:p>
        </w:tc>
      </w:tr>
      <w:tr>
        <w:trPr>
          <w:cantSplit/>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104913522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UFD1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GTGGTCTGCTTCAACATCTGTGGTC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GATCTATGAGCTTCGGGTAATGGAGAC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154 bp</w:t>
            </w:r>
          </w:p>
        </w:tc>
      </w:tr>
      <w:tr>
        <w:trPr>
          <w:cantSplit/>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100548376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VCP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CAAGGCCATAGGAGTGAAGCCTC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CTCAGGTTGCTCTCAGACTCACC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171 bp</w:t>
            </w:r>
          </w:p>
        </w:tc>
      </w:tr>
      <w:tr>
        <w:trPr>
          <w:cantSplit/>
          <w:trHeight w:val="360" w:hRule="auto"/>
        </w:trPr>
        footer 1
        <w:tc>
          <w:tcPr>
            <w:gridSpan w:val="5"/>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HK</w:t>
            </w:r>
            <w:r>
              <w:rPr>
                <w:rFonts w:ascii="DejaVu Sans" w:hAnsi="DejaVu Sans" w:eastAsia="DejaVu Sans" w:cs="DejaVu Sans"/>
                <w:i w:val="false"/>
                <w:b w:val="false"/>
                <w:u w:val="none"/>
                <w:sz w:val="12"/>
                <w:szCs w:val="12"/>
                <w:color w:val="000000"/>
              </w:rPr>
              <w:t xml:space="preserve">Control (house-keeping) gene</w:t>
            </w:r>
            <w:r>
              <w:rPr>
                <w:rFonts w:ascii="DejaVu Sans" w:hAnsi="DejaVu Sans" w:eastAsia="DejaVu Sans" w:cs="DejaVu Sans"/>
                <w:i w:val="false"/>
                <w:b w:val="false"/>
                <w:u w:val="none"/>
                <w:vertAlign w:val="superscript"/>
                <w:sz w:val="12"/>
                <w:szCs w:val="12"/>
                <w:color w:val="000000"/>
              </w:rPr>
              <w:t xml:space="preserve">ExJ</w:t>
            </w:r>
            <w:r>
              <w:rPr>
                <w:rFonts w:ascii="DejaVu Sans" w:hAnsi="DejaVu Sans" w:eastAsia="DejaVu Sans" w:cs="DejaVu Sans"/>
                <w:i w:val="false"/>
                <w:b w:val="false"/>
                <w:u w:val="none"/>
                <w:sz w:val="12"/>
                <w:szCs w:val="12"/>
                <w:color w:val="000000"/>
              </w:rPr>
              <w:t xml:space="preserve">Primer spans exon-exon junction</w:t>
            </w:r>
            <w:r>
              <w:rPr>
                <w:rFonts w:ascii="DejaVu Sans" w:hAnsi="DejaVu Sans" w:eastAsia="DejaVu Sans" w:cs="DejaVu Sans"/>
                <w:i w:val="false"/>
                <w:b w:val="false"/>
                <w:u w:val="none"/>
                <w:sz w:val="12"/>
                <w:szCs w:val="12"/>
                <w:color w:val="000000"/>
              </w:rPr>
              <w:t xml:space="preserve">; </w:t>
            </w:r>
          </w:p>
        </w:tc>
      </w:tr>
    </w:tbl>
    <w:bookmarkEnd w:id="132"/>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189"/>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16" Type="http://schemas.openxmlformats.org/officeDocument/2006/relationships/image" Target="media/rId116.png"/>
<Relationship Id="rId122" Type="http://schemas.openxmlformats.org/officeDocument/2006/relationships/image" Target="media/rId122.png"/>
<Relationship Id="rId125" Type="http://schemas.openxmlformats.org/officeDocument/2006/relationships/image" Target="media/rId125.png"/>
<Relationship Id="rId128" Type="http://schemas.openxmlformats.org/officeDocument/2006/relationships/image" Target="media/rId128.png"/>
<Relationship Id="rId119" Type="http://schemas.openxmlformats.org/officeDocument/2006/relationships/image" Target="media/rId119.png"/>
<Relationship Id="rId45"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110" Type="http://schemas.openxmlformats.org/officeDocument/2006/relationships/hyperlink" Target="https://CRAN.R-project.org/package=ggvenn" TargetMode="External"/>
<Relationship Id="rId108" Type="http://schemas.openxmlformats.org/officeDocument/2006/relationships/hyperlink" Target="https://CRAN.R-project.org/package=pheatmap" TargetMode="External"/>
<Relationship Id="rId32" Type="http://schemas.openxmlformats.org/officeDocument/2006/relationships/hyperlink" Target="https://blast.ncbi.nlm.nih.gov/Blast.cgi?PROGRAM=blastn" TargetMode="External"/>
<Relationship Id="rId112" Type="http://schemas.openxmlformats.org/officeDocument/2006/relationships/hyperlink" Target="https://doi.org/10.1006/meth.2001.1262" TargetMode="External"/>
<Relationship Id="rId57" Type="http://schemas.openxmlformats.org/officeDocument/2006/relationships/hyperlink" Target="https://doi.org/10.1007/s007050070083" TargetMode="External"/>
<Relationship Id="rId61" Type="http://schemas.openxmlformats.org/officeDocument/2006/relationships/hyperlink" Target="https://doi.org/10.1007/s10142-023-01064-6" TargetMode="External"/>
<Relationship Id="rId65" Type="http://schemas.openxmlformats.org/officeDocument/2006/relationships/hyperlink" Target="https://doi.org/10.1007/s12275-016-6233-2" TargetMode="External"/>
<Relationship Id="rId96" Type="http://schemas.openxmlformats.org/officeDocument/2006/relationships/hyperlink" Target="https://doi.org/10.1016/0165-2478(93)90080-l" TargetMode="External"/>
<Relationship Id="rId40" Type="http://schemas.openxmlformats.org/officeDocument/2006/relationships/hyperlink" Target="https://doi.org/10.1016/B978-012374410-4.00680-4" TargetMode="External"/>
<Relationship Id="rId92" Type="http://schemas.openxmlformats.org/officeDocument/2006/relationships/hyperlink" Target="https://doi.org/10.1016/b978-0-12-800276-6.00003-6" TargetMode="External"/>
<Relationship Id="rId100" Type="http://schemas.openxmlformats.org/officeDocument/2006/relationships/hyperlink" Target="https://doi.org/10.1016/j.jviromet.2016.11.002" TargetMode="External"/>
<Relationship Id="rId94" Type="http://schemas.openxmlformats.org/officeDocument/2006/relationships/hyperlink" Target="https://doi.org/10.1016/j.molmed.2006.07.007" TargetMode="External"/>
<Relationship Id="rId67" Type="http://schemas.openxmlformats.org/officeDocument/2006/relationships/hyperlink" Target="https://doi.org/10.1016/j.virs.2022.09.002" TargetMode="External"/>
<Relationship Id="rId52" Type="http://schemas.openxmlformats.org/officeDocument/2006/relationships/hyperlink" Target="https://doi.org/10.1016/s0145-305x(99)00075-0" TargetMode="External"/>
<Relationship Id="rId84" Type="http://schemas.openxmlformats.org/officeDocument/2006/relationships/hyperlink" Target="https://doi.org/10.1016/s1054-3589(08)61063-7" TargetMode="External"/>
<Relationship Id="rId69" Type="http://schemas.openxmlformats.org/officeDocument/2006/relationships/hyperlink" Target="https://doi.org/10.1038/75556" TargetMode="External"/>
<Relationship Id="rId73" Type="http://schemas.openxmlformats.org/officeDocument/2006/relationships/hyperlink" Target="https://doi.org/10.1038/nprot.2016.095" TargetMode="External"/>
<Relationship Id="rId82" Type="http://schemas.openxmlformats.org/officeDocument/2006/relationships/hyperlink" Target="https://doi.org/10.1038/sj.cdd.4400823" TargetMode="External"/>
<Relationship Id="rId47" Type="http://schemas.openxmlformats.org/officeDocument/2006/relationships/hyperlink" Target="https://doi.org/10.1080/01652176.2016.1277281" TargetMode="External"/>
<Relationship Id="rId80" Type="http://schemas.openxmlformats.org/officeDocument/2006/relationships/hyperlink" Target="https://doi.org/10.1080/03079459308418899" TargetMode="External"/>
<Relationship Id="rId71" Type="http://schemas.openxmlformats.org/officeDocument/2006/relationships/hyperlink" Target="https://doi.org/10.1093/nar/28.1.27" TargetMode="External"/>
<Relationship Id="rId77" Type="http://schemas.openxmlformats.org/officeDocument/2006/relationships/hyperlink" Target="https://doi.org/10.1093/nar/gkac194" TargetMode="External"/>
<Relationship Id="rId42" Type="http://schemas.openxmlformats.org/officeDocument/2006/relationships/hyperlink" Target="https://doi.org/10.1099/vir.0.19497-0" TargetMode="External"/>
<Relationship Id="rId88" Type="http://schemas.openxmlformats.org/officeDocument/2006/relationships/hyperlink" Target="https://doi.org/10.1128/jvi.40.1.20-27.1981" TargetMode="External"/>
<Relationship Id="rId49" Type="http://schemas.openxmlformats.org/officeDocument/2006/relationships/hyperlink" Target="https://doi.org/10.1186/s12917-019-2138-8" TargetMode="External"/>
<Relationship Id="rId90" Type="http://schemas.openxmlformats.org/officeDocument/2006/relationships/hyperlink" Target="https://doi.org/10.1186/s12985-024-02449-0" TargetMode="External"/>
<Relationship Id="rId75" Type="http://schemas.openxmlformats.org/officeDocument/2006/relationships/hyperlink" Target="https://doi.org/10.1186/s13059-014-0550-8" TargetMode="External"/>
<Relationship Id="rId102" Type="http://schemas.openxmlformats.org/officeDocument/2006/relationships/hyperlink" Target="https://doi.org/10.12688/f1000research.29032.2" TargetMode="External"/>
<Relationship Id="rId86" Type="http://schemas.openxmlformats.org/officeDocument/2006/relationships/hyperlink" Target="https://doi.org/10.1371/journal.ppat.1010718" TargetMode="External"/>
<Relationship Id="rId104" Type="http://schemas.openxmlformats.org/officeDocument/2006/relationships/hyperlink" Target="https://doi.org/10.14806/ej.17.1.200" TargetMode="External"/>
<Relationship Id="rId98" Type="http://schemas.openxmlformats.org/officeDocument/2006/relationships/hyperlink" Target="https://doi.org/10.15252/embj.2021109845" TargetMode="External"/>
<Relationship Id="rId55" Type="http://schemas.openxmlformats.org/officeDocument/2006/relationships/hyperlink" Target="https://doi.org/10.1637/8575-010509-reg.1" TargetMode="External"/>
<Relationship Id="rId63" Type="http://schemas.openxmlformats.org/officeDocument/2006/relationships/hyperlink" Target="https://doi.org/10.3389/fgene.2019.00384" TargetMode="External"/>
<Relationship Id="rId59" Type="http://schemas.openxmlformats.org/officeDocument/2006/relationships/hyperlink" Target="https://doi.org/10.3390/biology12070997" TargetMode="External"/>
<Relationship Id="rId29" Type="http://schemas.openxmlformats.org/officeDocument/2006/relationships/hyperlink" Target="https://ftp.ncbi.nlm.nih.gov/genomes/all/GCF/000/146/605/GCF_000146605.3_Turkey_5.1/" TargetMode="External"/>
<Relationship Id="rId106" Type="http://schemas.openxmlformats.org/officeDocument/2006/relationships/hyperlink" Target="https://ggplot2.tidyverse.org" TargetMode="External"/>
<Relationship Id="rId37"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45"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110" Type="http://schemas.openxmlformats.org/officeDocument/2006/relationships/hyperlink" Target="https://CRAN.R-project.org/package=ggvenn" TargetMode="External"/>
<Relationship Id="rId108" Type="http://schemas.openxmlformats.org/officeDocument/2006/relationships/hyperlink" Target="https://CRAN.R-project.org/package=pheatmap" TargetMode="External"/>
<Relationship Id="rId32" Type="http://schemas.openxmlformats.org/officeDocument/2006/relationships/hyperlink" Target="https://blast.ncbi.nlm.nih.gov/Blast.cgi?PROGRAM=blastn" TargetMode="External"/>
<Relationship Id="rId112" Type="http://schemas.openxmlformats.org/officeDocument/2006/relationships/hyperlink" Target="https://doi.org/10.1006/meth.2001.1262" TargetMode="External"/>
<Relationship Id="rId57" Type="http://schemas.openxmlformats.org/officeDocument/2006/relationships/hyperlink" Target="https://doi.org/10.1007/s007050070083" TargetMode="External"/>
<Relationship Id="rId61" Type="http://schemas.openxmlformats.org/officeDocument/2006/relationships/hyperlink" Target="https://doi.org/10.1007/s10142-023-01064-6" TargetMode="External"/>
<Relationship Id="rId65" Type="http://schemas.openxmlformats.org/officeDocument/2006/relationships/hyperlink" Target="https://doi.org/10.1007/s12275-016-6233-2" TargetMode="External"/>
<Relationship Id="rId96" Type="http://schemas.openxmlformats.org/officeDocument/2006/relationships/hyperlink" Target="https://doi.org/10.1016/0165-2478(93)90080-l" TargetMode="External"/>
<Relationship Id="rId40" Type="http://schemas.openxmlformats.org/officeDocument/2006/relationships/hyperlink" Target="https://doi.org/10.1016/B978-012374410-4.00680-4" TargetMode="External"/>
<Relationship Id="rId92" Type="http://schemas.openxmlformats.org/officeDocument/2006/relationships/hyperlink" Target="https://doi.org/10.1016/b978-0-12-800276-6.00003-6" TargetMode="External"/>
<Relationship Id="rId100" Type="http://schemas.openxmlformats.org/officeDocument/2006/relationships/hyperlink" Target="https://doi.org/10.1016/j.jviromet.2016.11.002" TargetMode="External"/>
<Relationship Id="rId94" Type="http://schemas.openxmlformats.org/officeDocument/2006/relationships/hyperlink" Target="https://doi.org/10.1016/j.molmed.2006.07.007" TargetMode="External"/>
<Relationship Id="rId67" Type="http://schemas.openxmlformats.org/officeDocument/2006/relationships/hyperlink" Target="https://doi.org/10.1016/j.virs.2022.09.002" TargetMode="External"/>
<Relationship Id="rId52" Type="http://schemas.openxmlformats.org/officeDocument/2006/relationships/hyperlink" Target="https://doi.org/10.1016/s0145-305x(99)00075-0" TargetMode="External"/>
<Relationship Id="rId84" Type="http://schemas.openxmlformats.org/officeDocument/2006/relationships/hyperlink" Target="https://doi.org/10.1016/s1054-3589(08)61063-7" TargetMode="External"/>
<Relationship Id="rId69" Type="http://schemas.openxmlformats.org/officeDocument/2006/relationships/hyperlink" Target="https://doi.org/10.1038/75556" TargetMode="External"/>
<Relationship Id="rId73" Type="http://schemas.openxmlformats.org/officeDocument/2006/relationships/hyperlink" Target="https://doi.org/10.1038/nprot.2016.095" TargetMode="External"/>
<Relationship Id="rId82" Type="http://schemas.openxmlformats.org/officeDocument/2006/relationships/hyperlink" Target="https://doi.org/10.1038/sj.cdd.4400823" TargetMode="External"/>
<Relationship Id="rId47" Type="http://schemas.openxmlformats.org/officeDocument/2006/relationships/hyperlink" Target="https://doi.org/10.1080/01652176.2016.1277281" TargetMode="External"/>
<Relationship Id="rId80" Type="http://schemas.openxmlformats.org/officeDocument/2006/relationships/hyperlink" Target="https://doi.org/10.1080/03079459308418899" TargetMode="External"/>
<Relationship Id="rId71" Type="http://schemas.openxmlformats.org/officeDocument/2006/relationships/hyperlink" Target="https://doi.org/10.1093/nar/28.1.27" TargetMode="External"/>
<Relationship Id="rId77" Type="http://schemas.openxmlformats.org/officeDocument/2006/relationships/hyperlink" Target="https://doi.org/10.1093/nar/gkac194" TargetMode="External"/>
<Relationship Id="rId42" Type="http://schemas.openxmlformats.org/officeDocument/2006/relationships/hyperlink" Target="https://doi.org/10.1099/vir.0.19497-0" TargetMode="External"/>
<Relationship Id="rId88" Type="http://schemas.openxmlformats.org/officeDocument/2006/relationships/hyperlink" Target="https://doi.org/10.1128/jvi.40.1.20-27.1981" TargetMode="External"/>
<Relationship Id="rId49" Type="http://schemas.openxmlformats.org/officeDocument/2006/relationships/hyperlink" Target="https://doi.org/10.1186/s12917-019-2138-8" TargetMode="External"/>
<Relationship Id="rId90" Type="http://schemas.openxmlformats.org/officeDocument/2006/relationships/hyperlink" Target="https://doi.org/10.1186/s12985-024-02449-0" TargetMode="External"/>
<Relationship Id="rId75" Type="http://schemas.openxmlformats.org/officeDocument/2006/relationships/hyperlink" Target="https://doi.org/10.1186/s13059-014-0550-8" TargetMode="External"/>
<Relationship Id="rId102" Type="http://schemas.openxmlformats.org/officeDocument/2006/relationships/hyperlink" Target="https://doi.org/10.12688/f1000research.29032.2" TargetMode="External"/>
<Relationship Id="rId86" Type="http://schemas.openxmlformats.org/officeDocument/2006/relationships/hyperlink" Target="https://doi.org/10.1371/journal.ppat.1010718" TargetMode="External"/>
<Relationship Id="rId104" Type="http://schemas.openxmlformats.org/officeDocument/2006/relationships/hyperlink" Target="https://doi.org/10.14806/ej.17.1.200" TargetMode="External"/>
<Relationship Id="rId98" Type="http://schemas.openxmlformats.org/officeDocument/2006/relationships/hyperlink" Target="https://doi.org/10.15252/embj.2021109845" TargetMode="External"/>
<Relationship Id="rId55" Type="http://schemas.openxmlformats.org/officeDocument/2006/relationships/hyperlink" Target="https://doi.org/10.1637/8575-010509-reg.1" TargetMode="External"/>
<Relationship Id="rId63" Type="http://schemas.openxmlformats.org/officeDocument/2006/relationships/hyperlink" Target="https://doi.org/10.3389/fgene.2019.00384" TargetMode="External"/>
<Relationship Id="rId59" Type="http://schemas.openxmlformats.org/officeDocument/2006/relationships/hyperlink" Target="https://doi.org/10.3390/biology12070997" TargetMode="External"/>
<Relationship Id="rId29" Type="http://schemas.openxmlformats.org/officeDocument/2006/relationships/hyperlink" Target="https://ftp.ncbi.nlm.nih.gov/genomes/all/GCF/000/146/605/GCF_000146605.3_Turkey_5.1/" TargetMode="External"/>
<Relationship Id="rId106" Type="http://schemas.openxmlformats.org/officeDocument/2006/relationships/hyperlink" Target="https://ggplot2.tidyverse.org" TargetMode="External"/>
<Relationship Id="rId37"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Turkey B-cell Transcriptome Profile During THEV Infection Highlights Upregulated Cell Death and Breakdown Pathways That May Mediate Immunosuppression</dc:title>
  <dc:creator/>
  <cp:keywords/>
  <dcterms:created xsi:type="dcterms:W3CDTF">2025-01-01T06:15:42Z</dcterms:created>
  <dcterms:modified xsi:type="dcterms:W3CDTF">2024-12-31T23:15:45Z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